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ascii="黑体" w:hAnsi="黑体" w:eastAsia="黑体"/>
          <w:sz w:val="36"/>
          <w:szCs w:val="36"/>
        </w:rPr>
      </w:pPr>
      <w:r>
        <w:rPr>
          <w:rFonts w:ascii="黑体" w:hAnsi="黑体" w:eastAsia="黑体"/>
          <w:sz w:val="36"/>
          <w:szCs w:val="36"/>
        </w:rPr>
        <w:t>202</w:t>
      </w:r>
      <w:r>
        <w:rPr>
          <w:rFonts w:hint="eastAsia" w:ascii="黑体" w:hAnsi="黑体" w:eastAsia="黑体"/>
          <w:sz w:val="36"/>
          <w:szCs w:val="36"/>
        </w:rPr>
        <w:t>4</w:t>
      </w:r>
      <w:r>
        <w:rPr>
          <w:rFonts w:ascii="黑体" w:hAnsi="黑体" w:eastAsia="黑体"/>
          <w:sz w:val="36"/>
          <w:szCs w:val="36"/>
        </w:rPr>
        <w:t>年十堰市</w:t>
      </w:r>
      <w:r>
        <w:rPr>
          <w:rFonts w:hint="eastAsia" w:ascii="黑体" w:hAnsi="黑体" w:eastAsia="黑体"/>
          <w:sz w:val="36"/>
          <w:szCs w:val="36"/>
        </w:rPr>
        <w:t>中医医院</w:t>
      </w:r>
      <w:r>
        <w:rPr>
          <w:rFonts w:ascii="黑体" w:hAnsi="黑体" w:eastAsia="黑体"/>
          <w:sz w:val="36"/>
          <w:szCs w:val="36"/>
        </w:rPr>
        <w:t>高层次人才招聘简章</w:t>
      </w:r>
    </w:p>
    <w:p>
      <w:pPr>
        <w:spacing w:line="360" w:lineRule="auto"/>
        <w:contextualSpacing/>
        <w:rPr>
          <w:rFonts w:ascii="仿宋" w:hAnsi="仿宋" w:eastAsia="仿宋"/>
          <w:sz w:val="32"/>
          <w:szCs w:val="32"/>
        </w:rPr>
      </w:pPr>
    </w:p>
    <w:p>
      <w:pPr>
        <w:spacing w:line="360" w:lineRule="auto"/>
        <w:ind w:firstLine="640" w:firstLineChars="200"/>
        <w:contextualSpacing/>
        <w:rPr>
          <w:rFonts w:ascii="仿宋" w:hAnsi="仿宋" w:eastAsia="仿宋"/>
          <w:sz w:val="32"/>
          <w:szCs w:val="32"/>
        </w:rPr>
      </w:pPr>
      <w:r>
        <w:rPr>
          <w:rFonts w:hint="eastAsia" w:ascii="仿宋" w:hAnsi="仿宋" w:eastAsia="仿宋"/>
          <w:sz w:val="32"/>
          <w:szCs w:val="32"/>
        </w:rPr>
        <w:t>根据《事业单位人事管理条例》（国务院令第652号）、《事业单位公开招聘人员暂行规定》（人事部令第6号）、《事业单位公开招聘违纪违规行为处理规定》（人事部令第35号）和《十堰市引进博士、硕士研究生若干措施》（十人才〔2021〕3号）等相关文件精神，结合医院编制、岗位空缺情况和工作需要，按照“公开、平等、竞争、择优”的原则，十堰市中医医院现面向社会公开招聘高层次人才20人。有关事项公告如下：</w:t>
      </w:r>
    </w:p>
    <w:p>
      <w:pPr>
        <w:spacing w:line="360" w:lineRule="auto"/>
        <w:ind w:firstLine="803" w:firstLineChars="250"/>
        <w:contextualSpacing/>
        <w:rPr>
          <w:rFonts w:ascii="仿宋" w:hAnsi="仿宋" w:eastAsia="仿宋"/>
          <w:b/>
          <w:sz w:val="32"/>
          <w:szCs w:val="32"/>
        </w:rPr>
      </w:pPr>
      <w:r>
        <w:rPr>
          <w:rFonts w:hint="eastAsia" w:ascii="仿宋" w:hAnsi="仿宋" w:eastAsia="仿宋"/>
          <w:b/>
          <w:sz w:val="32"/>
          <w:szCs w:val="32"/>
        </w:rPr>
        <w:t>一、招聘对象和报考条件</w:t>
      </w:r>
    </w:p>
    <w:p>
      <w:pPr>
        <w:spacing w:line="360" w:lineRule="auto"/>
        <w:ind w:firstLine="643" w:firstLineChars="200"/>
        <w:contextualSpacing/>
        <w:rPr>
          <w:rFonts w:ascii="仿宋" w:hAnsi="仿宋" w:eastAsia="仿宋"/>
          <w:b/>
          <w:sz w:val="32"/>
          <w:szCs w:val="32"/>
        </w:rPr>
      </w:pPr>
      <w:r>
        <w:rPr>
          <w:rFonts w:hint="eastAsia" w:ascii="仿宋" w:hAnsi="仿宋" w:eastAsia="仿宋"/>
          <w:b/>
          <w:sz w:val="32"/>
          <w:szCs w:val="32"/>
        </w:rPr>
        <w:t>(一)招聘对象</w:t>
      </w:r>
    </w:p>
    <w:p>
      <w:pPr>
        <w:spacing w:line="360" w:lineRule="auto"/>
        <w:ind w:firstLine="640" w:firstLineChars="200"/>
        <w:contextualSpacing/>
        <w:rPr>
          <w:rFonts w:ascii="仿宋" w:hAnsi="仿宋" w:eastAsia="仿宋"/>
          <w:sz w:val="32"/>
          <w:szCs w:val="32"/>
          <w:highlight w:val="none"/>
        </w:rPr>
      </w:pPr>
      <w:r>
        <w:rPr>
          <w:rFonts w:hint="eastAsia" w:ascii="仿宋" w:hAnsi="仿宋" w:eastAsia="仿宋"/>
          <w:sz w:val="32"/>
          <w:szCs w:val="32"/>
        </w:rPr>
        <w:t>1、取得相应学历学位的医师类博士研究生，年龄在40周岁及以下（1984年1月1日及以后出生）。</w:t>
      </w:r>
      <w:r>
        <w:rPr>
          <w:rFonts w:hint="eastAsia" w:ascii="仿宋" w:hAnsi="仿宋" w:eastAsia="仿宋"/>
          <w:sz w:val="32"/>
          <w:szCs w:val="32"/>
          <w:highlight w:val="none"/>
        </w:rPr>
        <w:t>若同时取得副高及以上专业技术职务任职资格5年以上，专业对口则年龄可放宽至在45周岁及以下（1979年1月1日及以后出生）。</w:t>
      </w:r>
    </w:p>
    <w:p>
      <w:pPr>
        <w:spacing w:line="360" w:lineRule="auto"/>
        <w:ind w:firstLine="640" w:firstLineChars="200"/>
        <w:contextualSpacing/>
        <w:rPr>
          <w:rFonts w:ascii="仿宋" w:hAnsi="仿宋" w:eastAsia="仿宋"/>
          <w:sz w:val="32"/>
          <w:szCs w:val="32"/>
        </w:rPr>
      </w:pPr>
      <w:r>
        <w:rPr>
          <w:rFonts w:hint="eastAsia" w:ascii="仿宋" w:hAnsi="仿宋" w:eastAsia="仿宋"/>
          <w:sz w:val="32"/>
          <w:szCs w:val="32"/>
        </w:rPr>
        <w:t>2、取得相应学历学位的2024年应届医师类、药师类、财务类硕士毕业生，年龄在30周岁及以下（1994年1月1日及以后出生）；取得相应学历学位的非应届医师类、药师类、财务类硕士毕业生，年龄可以放宽至35周岁及以下（1989年1月1日及以后出生）。</w:t>
      </w:r>
    </w:p>
    <w:p>
      <w:pPr>
        <w:spacing w:line="360" w:lineRule="auto"/>
        <w:ind w:firstLine="640" w:firstLineChars="200"/>
        <w:contextualSpacing/>
        <w:rPr>
          <w:rFonts w:ascii="仿宋" w:hAnsi="仿宋" w:eastAsia="仿宋"/>
          <w:sz w:val="32"/>
          <w:szCs w:val="32"/>
        </w:rPr>
      </w:pPr>
      <w:r>
        <w:rPr>
          <w:rFonts w:hint="eastAsia" w:ascii="仿宋" w:hAnsi="仿宋" w:eastAsia="仿宋"/>
          <w:sz w:val="32"/>
          <w:szCs w:val="32"/>
        </w:rPr>
        <w:t>具体岗位和条件详见附件1:《十堰市中医医院高层次人才招聘岗位和条件一览表》</w:t>
      </w:r>
    </w:p>
    <w:p>
      <w:pPr>
        <w:spacing w:line="360" w:lineRule="auto"/>
        <w:ind w:firstLine="803" w:firstLineChars="250"/>
        <w:contextualSpacing/>
        <w:rPr>
          <w:rFonts w:ascii="仿宋" w:hAnsi="仿宋" w:eastAsia="仿宋"/>
          <w:b/>
          <w:sz w:val="32"/>
          <w:szCs w:val="32"/>
        </w:rPr>
      </w:pPr>
      <w:r>
        <w:rPr>
          <w:rFonts w:hint="eastAsia" w:ascii="仿宋" w:hAnsi="仿宋" w:eastAsia="仿宋"/>
          <w:b/>
          <w:sz w:val="32"/>
          <w:szCs w:val="32"/>
        </w:rPr>
        <w:t>(二)报考条件</w:t>
      </w:r>
    </w:p>
    <w:p>
      <w:pPr>
        <w:spacing w:line="360" w:lineRule="auto"/>
        <w:ind w:firstLine="800" w:firstLineChars="250"/>
        <w:contextualSpacing/>
        <w:rPr>
          <w:rFonts w:ascii="仿宋" w:hAnsi="仿宋" w:eastAsia="仿宋"/>
          <w:sz w:val="32"/>
          <w:szCs w:val="32"/>
        </w:rPr>
      </w:pPr>
      <w:r>
        <w:rPr>
          <w:rFonts w:hint="eastAsia" w:ascii="仿宋" w:hAnsi="仿宋" w:eastAsia="仿宋"/>
          <w:sz w:val="32"/>
          <w:szCs w:val="32"/>
        </w:rPr>
        <w:t>1、遵纪守法、品学兼优、责任心强、有较强的沟通交流及语言表达能力，无任何不良记录;</w:t>
      </w:r>
    </w:p>
    <w:p>
      <w:pPr>
        <w:spacing w:line="360" w:lineRule="auto"/>
        <w:ind w:firstLine="800" w:firstLineChars="250"/>
        <w:contextualSpacing/>
        <w:rPr>
          <w:rFonts w:ascii="仿宋" w:hAnsi="仿宋" w:eastAsia="仿宋"/>
          <w:sz w:val="32"/>
          <w:szCs w:val="32"/>
        </w:rPr>
      </w:pPr>
      <w:r>
        <w:rPr>
          <w:rFonts w:hint="eastAsia" w:ascii="仿宋" w:hAnsi="仿宋" w:eastAsia="仿宋"/>
          <w:sz w:val="32"/>
          <w:szCs w:val="32"/>
        </w:rPr>
        <w:t>2.具备适应岗位要求的身体条件，具备岗位所需的专业知识和业务能力，符合岗位所要求的学历、学位、资格</w:t>
      </w:r>
    </w:p>
    <w:p>
      <w:pPr>
        <w:spacing w:line="360" w:lineRule="auto"/>
        <w:contextualSpacing/>
        <w:rPr>
          <w:rFonts w:ascii="仿宋" w:hAnsi="仿宋" w:eastAsia="仿宋"/>
          <w:sz w:val="32"/>
          <w:szCs w:val="32"/>
        </w:rPr>
      </w:pPr>
      <w:r>
        <w:rPr>
          <w:rFonts w:hint="eastAsia" w:ascii="仿宋" w:hAnsi="仿宋" w:eastAsia="仿宋"/>
          <w:sz w:val="32"/>
          <w:szCs w:val="32"/>
        </w:rPr>
        <w:t>以及其它要要求，有相关岗位工作经历者优先，聘用后能够按要求及时到岗工作;</w:t>
      </w:r>
    </w:p>
    <w:p>
      <w:pPr>
        <w:spacing w:line="360" w:lineRule="auto"/>
        <w:ind w:firstLine="803" w:firstLineChars="250"/>
        <w:contextualSpacing/>
        <w:rPr>
          <w:rFonts w:hint="default" w:ascii="仿宋" w:hAnsi="仿宋" w:eastAsia="仿宋"/>
          <w:b/>
          <w:sz w:val="32"/>
          <w:szCs w:val="32"/>
          <w:lang w:val="en-US" w:eastAsia="zh-CN"/>
        </w:rPr>
      </w:pPr>
      <w:r>
        <w:rPr>
          <w:rFonts w:hint="default" w:ascii="仿宋" w:hAnsi="仿宋" w:eastAsia="仿宋"/>
          <w:b/>
          <w:sz w:val="32"/>
          <w:szCs w:val="32"/>
          <w:lang w:val="en-US" w:eastAsia="zh-CN"/>
        </w:rPr>
        <w:t>（三）以下人员不能应聘</w:t>
      </w:r>
    </w:p>
    <w:p>
      <w:pPr>
        <w:spacing w:line="360" w:lineRule="auto"/>
        <w:ind w:firstLine="800" w:firstLineChars="25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1.涉嫌违法违纪正在接受审查的人员和尚未解除党纪、政纪处分的人员；</w:t>
      </w:r>
    </w:p>
    <w:p>
      <w:pPr>
        <w:spacing w:line="360" w:lineRule="auto"/>
        <w:ind w:firstLine="800" w:firstLineChars="25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2.在公务员招录和事业单位招聘考试中被认定有严重违纪违规行为尚在禁考期内的人员；</w:t>
      </w:r>
    </w:p>
    <w:p>
      <w:pPr>
        <w:spacing w:line="360" w:lineRule="auto"/>
        <w:ind w:firstLine="800" w:firstLineChars="25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3.现役军人、十堰市（含所属各县市区）内行政事业单位在编人员、十堰市外行政事业单位在编人员未完成最低服务年限约定的、原工作（聘用）单位不同意报考的、被列入《黑名单及国家联合惩戒备忘录》并被限制招聘为事业单位工作人员的、在读全日制普通高校非2024年应届毕业生（含硕士研究生和博士研究生）；</w:t>
      </w:r>
    </w:p>
    <w:p>
      <w:pPr>
        <w:spacing w:line="360" w:lineRule="auto"/>
        <w:ind w:firstLine="800" w:firstLineChars="25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4.按照《事业单位人事管理回避规定》(人社部规〔2019〕1号)等应当执行回避制度的人员；</w:t>
      </w:r>
    </w:p>
    <w:p>
      <w:pPr>
        <w:spacing w:line="360" w:lineRule="auto"/>
        <w:ind w:firstLine="800" w:firstLineChars="250"/>
        <w:contextualSpacing/>
        <w:rPr>
          <w:rFonts w:hint="eastAsia" w:ascii="仿宋" w:hAnsi="仿宋" w:eastAsia="仿宋"/>
          <w:sz w:val="32"/>
          <w:szCs w:val="32"/>
        </w:rPr>
      </w:pPr>
      <w:r>
        <w:rPr>
          <w:rFonts w:hint="eastAsia" w:ascii="仿宋" w:hAnsi="仿宋" w:eastAsia="仿宋"/>
          <w:sz w:val="32"/>
          <w:szCs w:val="32"/>
          <w:lang w:val="en-US" w:eastAsia="zh-CN"/>
        </w:rPr>
        <w:t>5.法律、法规、规章及政策规定不得聘用为事业单位工作人员的其他情形。</w:t>
      </w:r>
    </w:p>
    <w:p>
      <w:pPr>
        <w:spacing w:line="360" w:lineRule="auto"/>
        <w:ind w:left="440" w:leftChars="200" w:firstLine="161" w:firstLineChars="50"/>
        <w:contextualSpacing/>
        <w:rPr>
          <w:rFonts w:ascii="仿宋" w:hAnsi="仿宋" w:eastAsia="仿宋"/>
          <w:b/>
          <w:sz w:val="32"/>
          <w:szCs w:val="32"/>
        </w:rPr>
      </w:pPr>
      <w:r>
        <w:rPr>
          <w:rFonts w:hint="eastAsia" w:ascii="仿宋" w:hAnsi="仿宋" w:eastAsia="仿宋"/>
          <w:b/>
          <w:sz w:val="32"/>
          <w:szCs w:val="32"/>
        </w:rPr>
        <w:t>二、招聘程序及相关要求</w:t>
      </w:r>
    </w:p>
    <w:p>
      <w:pPr>
        <w:spacing w:line="360" w:lineRule="auto"/>
        <w:ind w:left="440" w:leftChars="200" w:firstLine="161" w:firstLineChars="50"/>
        <w:contextualSpacing/>
        <w:rPr>
          <w:rFonts w:ascii="仿宋" w:hAnsi="仿宋" w:eastAsia="仿宋"/>
          <w:b/>
          <w:sz w:val="32"/>
          <w:szCs w:val="32"/>
        </w:rPr>
      </w:pPr>
      <w:r>
        <w:rPr>
          <w:rFonts w:hint="eastAsia" w:ascii="仿宋" w:hAnsi="仿宋" w:eastAsia="仿宋"/>
          <w:b/>
          <w:sz w:val="32"/>
          <w:szCs w:val="32"/>
        </w:rPr>
        <w:t>(一)报名、资格审查。</w:t>
      </w:r>
    </w:p>
    <w:p>
      <w:pPr>
        <w:spacing w:line="360" w:lineRule="auto"/>
        <w:ind w:left="440" w:leftChars="200" w:firstLine="161" w:firstLineChars="50"/>
        <w:contextualSpacing/>
        <w:jc w:val="both"/>
        <w:rPr>
          <w:rFonts w:ascii="仿宋" w:hAnsi="仿宋" w:eastAsia="仿宋"/>
          <w:sz w:val="32"/>
          <w:szCs w:val="32"/>
        </w:rPr>
      </w:pPr>
      <w:r>
        <w:rPr>
          <w:rFonts w:hint="eastAsia" w:ascii="仿宋" w:hAnsi="仿宋" w:eastAsia="仿宋"/>
          <w:b/>
          <w:sz w:val="32"/>
          <w:szCs w:val="32"/>
        </w:rPr>
        <w:t>1.报名时间。</w:t>
      </w:r>
      <w:bookmarkStart w:id="0" w:name="_GoBack"/>
      <w:r>
        <w:rPr>
          <w:rFonts w:hint="eastAsia" w:ascii="仿宋" w:hAnsi="仿宋" w:eastAsia="仿宋"/>
          <w:sz w:val="32"/>
          <w:szCs w:val="32"/>
          <w:highlight w:val="none"/>
          <w:lang w:val="en-US" w:eastAsia="zh-CN"/>
        </w:rPr>
        <w:t>2024</w:t>
      </w:r>
      <w:r>
        <w:rPr>
          <w:rFonts w:hint="default" w:ascii="仿宋" w:hAnsi="仿宋" w:eastAsia="仿宋"/>
          <w:sz w:val="32"/>
          <w:szCs w:val="32"/>
          <w:highlight w:val="none"/>
          <w:lang w:val="en-US" w:eastAsia="zh-CN"/>
        </w:rPr>
        <w:t>年</w:t>
      </w:r>
      <w:r>
        <w:rPr>
          <w:rFonts w:hint="eastAsia" w:ascii="仿宋" w:hAnsi="仿宋" w:eastAsia="仿宋"/>
          <w:sz w:val="32"/>
          <w:szCs w:val="32"/>
          <w:highlight w:val="none"/>
          <w:lang w:val="en-US" w:eastAsia="zh-CN"/>
        </w:rPr>
        <w:t>5</w:t>
      </w:r>
      <w:r>
        <w:rPr>
          <w:rFonts w:hint="default" w:ascii="仿宋" w:hAnsi="仿宋" w:eastAsia="仿宋"/>
          <w:sz w:val="32"/>
          <w:szCs w:val="32"/>
          <w:highlight w:val="none"/>
          <w:lang w:val="en-US" w:eastAsia="zh-CN"/>
        </w:rPr>
        <w:t>月</w:t>
      </w:r>
      <w:r>
        <w:rPr>
          <w:rFonts w:hint="eastAsia" w:ascii="仿宋" w:hAnsi="仿宋" w:eastAsia="仿宋"/>
          <w:sz w:val="32"/>
          <w:szCs w:val="32"/>
          <w:highlight w:val="none"/>
          <w:lang w:val="en-US" w:eastAsia="zh-CN"/>
        </w:rPr>
        <w:t>17</w:t>
      </w:r>
      <w:r>
        <w:rPr>
          <w:rFonts w:hint="default" w:ascii="仿宋" w:hAnsi="仿宋" w:eastAsia="仿宋"/>
          <w:sz w:val="32"/>
          <w:szCs w:val="32"/>
          <w:highlight w:val="none"/>
          <w:lang w:val="en-US" w:eastAsia="zh-CN"/>
        </w:rPr>
        <w:t>日至</w:t>
      </w:r>
      <w:r>
        <w:rPr>
          <w:rFonts w:hint="eastAsia" w:ascii="仿宋" w:hAnsi="仿宋" w:eastAsia="仿宋"/>
          <w:sz w:val="32"/>
          <w:szCs w:val="32"/>
          <w:highlight w:val="none"/>
          <w:lang w:val="en-US" w:eastAsia="zh-CN"/>
        </w:rPr>
        <w:t>2024</w:t>
      </w:r>
      <w:r>
        <w:rPr>
          <w:rFonts w:hint="default" w:ascii="仿宋" w:hAnsi="仿宋" w:eastAsia="仿宋"/>
          <w:sz w:val="32"/>
          <w:szCs w:val="32"/>
          <w:highlight w:val="none"/>
          <w:lang w:val="en-US" w:eastAsia="zh-CN"/>
        </w:rPr>
        <w:t>年</w:t>
      </w:r>
      <w:r>
        <w:rPr>
          <w:rFonts w:hint="eastAsia" w:ascii="仿宋" w:hAnsi="仿宋" w:eastAsia="仿宋"/>
          <w:sz w:val="32"/>
          <w:szCs w:val="32"/>
          <w:highlight w:val="none"/>
          <w:lang w:val="en-US" w:eastAsia="zh-CN"/>
        </w:rPr>
        <w:t>5</w:t>
      </w:r>
      <w:r>
        <w:rPr>
          <w:rFonts w:hint="default" w:ascii="仿宋" w:hAnsi="仿宋" w:eastAsia="仿宋"/>
          <w:sz w:val="32"/>
          <w:szCs w:val="32"/>
          <w:highlight w:val="none"/>
          <w:lang w:val="en-US" w:eastAsia="zh-CN"/>
        </w:rPr>
        <w:t>月</w:t>
      </w:r>
      <w:r>
        <w:rPr>
          <w:rFonts w:hint="eastAsia" w:ascii="仿宋" w:hAnsi="仿宋" w:eastAsia="仿宋"/>
          <w:sz w:val="32"/>
          <w:szCs w:val="32"/>
          <w:highlight w:val="none"/>
          <w:lang w:val="en-US" w:eastAsia="zh-CN"/>
        </w:rPr>
        <w:t>31</w:t>
      </w:r>
      <w:r>
        <w:rPr>
          <w:rFonts w:hint="default" w:ascii="仿宋" w:hAnsi="仿宋" w:eastAsia="仿宋"/>
          <w:sz w:val="32"/>
          <w:szCs w:val="32"/>
          <w:highlight w:val="none"/>
          <w:lang w:val="en-US" w:eastAsia="zh-CN"/>
        </w:rPr>
        <w:t>日</w:t>
      </w:r>
      <w:bookmarkEnd w:id="0"/>
      <w:r>
        <w:rPr>
          <w:rFonts w:hint="eastAsia" w:ascii="仿宋" w:hAnsi="仿宋" w:eastAsia="仿宋"/>
          <w:sz w:val="32"/>
          <w:szCs w:val="32"/>
        </w:rPr>
        <w:t>。</w:t>
      </w:r>
    </w:p>
    <w:p>
      <w:pPr>
        <w:spacing w:line="360" w:lineRule="auto"/>
        <w:ind w:left="440" w:leftChars="200" w:firstLine="161" w:firstLineChars="50"/>
        <w:contextualSpacing/>
        <w:rPr>
          <w:rFonts w:ascii="仿宋" w:hAnsi="仿宋" w:eastAsia="仿宋"/>
          <w:sz w:val="32"/>
          <w:szCs w:val="32"/>
        </w:rPr>
      </w:pPr>
      <w:r>
        <w:rPr>
          <w:rFonts w:hint="eastAsia" w:ascii="仿宋" w:hAnsi="仿宋" w:eastAsia="仿宋"/>
          <w:b/>
          <w:sz w:val="32"/>
          <w:szCs w:val="32"/>
        </w:rPr>
        <w:t>2.报名程序。</w:t>
      </w:r>
      <w:r>
        <w:rPr>
          <w:rFonts w:hint="eastAsia" w:ascii="仿宋" w:hAnsi="仿宋" w:eastAsia="仿宋"/>
          <w:sz w:val="32"/>
          <w:szCs w:val="32"/>
        </w:rPr>
        <w:t>应聘人员填写《事业单位公开招聘工作人</w:t>
      </w:r>
    </w:p>
    <w:p>
      <w:pPr>
        <w:spacing w:line="360" w:lineRule="auto"/>
        <w:contextualSpacing/>
        <w:rPr>
          <w:rFonts w:ascii="仿宋" w:hAnsi="仿宋" w:eastAsia="仿宋"/>
          <w:sz w:val="32"/>
          <w:szCs w:val="32"/>
        </w:rPr>
      </w:pPr>
      <w:r>
        <w:rPr>
          <w:rFonts w:hint="eastAsia" w:ascii="仿宋" w:hAnsi="仿宋" w:eastAsia="仿宋"/>
          <w:sz w:val="32"/>
          <w:szCs w:val="32"/>
        </w:rPr>
        <w:t>员报名表》(附件2)，</w:t>
      </w:r>
      <w:r>
        <w:rPr>
          <w:rFonts w:hint="eastAsia" w:ascii="仿宋" w:hAnsi="仿宋" w:eastAsia="仿宋"/>
          <w:sz w:val="32"/>
          <w:szCs w:val="32"/>
          <w:lang w:val="en"/>
        </w:rPr>
        <w:t>应聘</w:t>
      </w:r>
      <w:r>
        <w:rPr>
          <w:rFonts w:hint="eastAsia" w:ascii="仿宋" w:hAnsi="仿宋" w:eastAsia="仿宋"/>
          <w:sz w:val="32"/>
          <w:szCs w:val="32"/>
        </w:rPr>
        <w:t>人员</w:t>
      </w:r>
      <w:r>
        <w:rPr>
          <w:rFonts w:hint="eastAsia" w:ascii="仿宋" w:hAnsi="仿宋" w:eastAsia="仿宋"/>
          <w:sz w:val="32"/>
          <w:szCs w:val="32"/>
          <w:lang w:val="en"/>
        </w:rPr>
        <w:t>请将</w:t>
      </w:r>
      <w:r>
        <w:rPr>
          <w:rFonts w:hint="eastAsia" w:ascii="仿宋" w:hAnsi="仿宋" w:eastAsia="仿宋"/>
          <w:sz w:val="32"/>
          <w:szCs w:val="32"/>
        </w:rPr>
        <w:t>报名表、</w:t>
      </w:r>
      <w:r>
        <w:rPr>
          <w:rFonts w:hint="eastAsia" w:ascii="仿宋" w:hAnsi="仿宋" w:eastAsia="仿宋"/>
          <w:sz w:val="32"/>
          <w:szCs w:val="32"/>
          <w:lang w:val="en"/>
        </w:rPr>
        <w:t>个人简历、身份证、</w:t>
      </w:r>
      <w:r>
        <w:rPr>
          <w:rFonts w:hint="eastAsia" w:ascii="仿宋" w:hAnsi="仿宋" w:eastAsia="仿宋"/>
          <w:sz w:val="32"/>
          <w:szCs w:val="32"/>
        </w:rPr>
        <w:t>资格证、</w:t>
      </w:r>
      <w:r>
        <w:rPr>
          <w:rFonts w:hint="eastAsia" w:ascii="仿宋" w:hAnsi="仿宋" w:eastAsia="仿宋"/>
          <w:sz w:val="32"/>
          <w:szCs w:val="32"/>
          <w:lang w:val="en"/>
        </w:rPr>
        <w:t>学信网相关认证报告电子版</w:t>
      </w:r>
      <w:r>
        <w:rPr>
          <w:rFonts w:hint="eastAsia" w:ascii="仿宋" w:hAnsi="仿宋" w:eastAsia="仿宋"/>
          <w:sz w:val="32"/>
          <w:szCs w:val="32"/>
        </w:rPr>
        <w:t>等所有资料仅以一个压缩包形式</w:t>
      </w:r>
      <w:r>
        <w:rPr>
          <w:rFonts w:hint="eastAsia" w:ascii="仿宋" w:hAnsi="仿宋" w:eastAsia="仿宋"/>
          <w:sz w:val="32"/>
          <w:szCs w:val="32"/>
          <w:lang w:val="en"/>
        </w:rPr>
        <w:t>发送至</w:t>
      </w:r>
      <w:r>
        <w:rPr>
          <w:rFonts w:hint="eastAsia" w:ascii="仿宋" w:hAnsi="仿宋" w:eastAsia="仿宋"/>
          <w:sz w:val="32"/>
          <w:szCs w:val="32"/>
        </w:rPr>
        <w:t>附件1中指定</w:t>
      </w:r>
      <w:r>
        <w:rPr>
          <w:rFonts w:hint="eastAsia" w:ascii="仿宋" w:hAnsi="仿宋" w:eastAsia="仿宋"/>
          <w:sz w:val="32"/>
          <w:szCs w:val="32"/>
          <w:lang w:val="en"/>
        </w:rPr>
        <w:t>邮箱，邮件主题请注明：</w:t>
      </w:r>
      <w:r>
        <w:rPr>
          <w:rFonts w:hint="eastAsia" w:ascii="仿宋" w:hAnsi="仿宋" w:eastAsia="仿宋"/>
          <w:sz w:val="32"/>
          <w:szCs w:val="32"/>
        </w:rPr>
        <w:t>姓名+报考岗位+学历</w:t>
      </w:r>
      <w:r>
        <w:rPr>
          <w:rFonts w:hint="eastAsia" w:ascii="仿宋" w:hAnsi="仿宋" w:eastAsia="仿宋"/>
          <w:sz w:val="32"/>
          <w:szCs w:val="32"/>
          <w:lang w:val="en"/>
        </w:rPr>
        <w:t>+毕业专业+毕业学校</w:t>
      </w:r>
      <w:r>
        <w:rPr>
          <w:rFonts w:hint="eastAsia" w:ascii="仿宋" w:hAnsi="仿宋" w:eastAsia="仿宋"/>
          <w:sz w:val="32"/>
          <w:szCs w:val="32"/>
        </w:rPr>
        <w:t>。未按指定要求报名者，取消报名资格；填报多个岗位者，取消报名资格。邮箱报名完成后，需番茄表单扫描报名填写个人信息，每台手机/电脑限填一次，两者都完成后，视为报名成功。</w:t>
      </w:r>
    </w:p>
    <w:p>
      <w:pPr>
        <w:spacing w:line="360" w:lineRule="auto"/>
        <w:ind w:firstLine="800" w:firstLineChars="250"/>
        <w:contextualSpacing/>
        <w:rPr>
          <w:rFonts w:ascii="仿宋" w:hAnsi="仿宋" w:eastAsia="仿宋"/>
          <w:sz w:val="32"/>
          <w:szCs w:val="32"/>
        </w:rPr>
      </w:pPr>
      <w:r>
        <w:rPr>
          <w:rFonts w:hint="eastAsia" w:ascii="仿宋" w:hAnsi="仿宋" w:eastAsia="仿宋"/>
          <w:sz w:val="32"/>
          <w:szCs w:val="32"/>
        </w:rPr>
        <w:t>番茄表单二维码：</w:t>
      </w:r>
    </w:p>
    <w:p>
      <w:pPr>
        <w:spacing w:line="360" w:lineRule="auto"/>
        <w:ind w:firstLine="560" w:firstLineChars="200"/>
        <w:contextualSpacing/>
        <w:rPr>
          <w:rFonts w:ascii="仿宋" w:hAnsi="仿宋" w:eastAsia="仿宋"/>
          <w:sz w:val="32"/>
          <w:szCs w:val="32"/>
        </w:rPr>
      </w:pPr>
      <w:r>
        <w:rPr>
          <w:rFonts w:hint="eastAsia" w:ascii="仿宋_GB2312" w:eastAsia="仿宋_GB2312"/>
          <w:sz w:val="28"/>
          <w:szCs w:val="28"/>
        </w:rPr>
        <w:t xml:space="preserve">  </w:t>
      </w:r>
      <w:r>
        <w:rPr>
          <w:rFonts w:ascii="仿宋" w:hAnsi="仿宋" w:eastAsia="仿宋"/>
          <w:sz w:val="32"/>
          <w:szCs w:val="32"/>
        </w:rPr>
        <w:drawing>
          <wp:inline distT="0" distB="0" distL="114300" distR="114300">
            <wp:extent cx="1249680" cy="1249680"/>
            <wp:effectExtent l="0" t="0" r="7620" b="7620"/>
            <wp:docPr id="1" name="图片 1" descr="q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pic:cNvPicPr>
                      <a:picLocks noChangeAspect="1"/>
                    </pic:cNvPicPr>
                  </pic:nvPicPr>
                  <pic:blipFill>
                    <a:blip r:embed="rId5"/>
                    <a:stretch>
                      <a:fillRect/>
                    </a:stretch>
                  </pic:blipFill>
                  <pic:spPr>
                    <a:xfrm>
                      <a:off x="0" y="0"/>
                      <a:ext cx="1249680" cy="1249680"/>
                    </a:xfrm>
                    <a:prstGeom prst="rect">
                      <a:avLst/>
                    </a:prstGeom>
                  </pic:spPr>
                </pic:pic>
              </a:graphicData>
            </a:graphic>
          </wp:inline>
        </w:drawing>
      </w:r>
    </w:p>
    <w:p>
      <w:pPr>
        <w:spacing w:line="360" w:lineRule="auto"/>
        <w:ind w:firstLine="630" w:firstLineChars="196"/>
        <w:contextualSpacing/>
        <w:rPr>
          <w:rFonts w:ascii="仿宋" w:hAnsi="仿宋" w:eastAsia="仿宋"/>
          <w:sz w:val="32"/>
          <w:szCs w:val="32"/>
        </w:rPr>
      </w:pPr>
      <w:r>
        <w:rPr>
          <w:rFonts w:hint="eastAsia" w:ascii="仿宋" w:hAnsi="仿宋" w:eastAsia="仿宋"/>
          <w:b/>
          <w:sz w:val="32"/>
          <w:szCs w:val="32"/>
        </w:rPr>
        <w:t>3.报名要求。</w:t>
      </w:r>
      <w:r>
        <w:rPr>
          <w:rFonts w:hint="eastAsia" w:ascii="仿宋" w:hAnsi="仿宋" w:eastAsia="仿宋"/>
          <w:sz w:val="32"/>
          <w:szCs w:val="32"/>
        </w:rPr>
        <w:t>报考人员填写《应聘事业单位工作人员诚信承诺书》(附件3)，对所提供的信息真实性、准确性负责。对提供虚假报考材料及不符合招聘资格条件的人员，一律不允许报名，即使报名参加考试的，一经核实，取消其资格，并计入个人诚信档案。</w:t>
      </w:r>
    </w:p>
    <w:p>
      <w:pPr>
        <w:spacing w:line="360" w:lineRule="auto"/>
        <w:ind w:firstLine="630" w:firstLineChars="196"/>
        <w:contextualSpacing/>
        <w:rPr>
          <w:rFonts w:ascii="仿宋" w:hAnsi="仿宋" w:eastAsia="仿宋"/>
          <w:sz w:val="32"/>
          <w:szCs w:val="32"/>
        </w:rPr>
      </w:pPr>
      <w:r>
        <w:rPr>
          <w:rFonts w:hint="eastAsia" w:ascii="仿宋" w:hAnsi="仿宋" w:eastAsia="仿宋"/>
          <w:b/>
          <w:sz w:val="32"/>
          <w:szCs w:val="32"/>
        </w:rPr>
        <w:t>4、资格审查。</w:t>
      </w:r>
      <w:r>
        <w:rPr>
          <w:rFonts w:hint="eastAsia" w:ascii="仿宋" w:hAnsi="仿宋" w:eastAsia="仿宋"/>
          <w:sz w:val="32"/>
          <w:szCs w:val="32"/>
        </w:rPr>
        <w:t>对符合应聘条件和岗位要求的报名人员进行资格审查，应聘人员需提供本人身份证、毕业证、学位证、执业资格证等相关证件的原件及复印件。</w:t>
      </w:r>
    </w:p>
    <w:p>
      <w:pPr>
        <w:spacing w:line="360" w:lineRule="auto"/>
        <w:ind w:firstLine="630" w:firstLineChars="196"/>
        <w:contextualSpacing/>
        <w:rPr>
          <w:rFonts w:ascii="仿宋" w:hAnsi="仿宋" w:eastAsia="仿宋" w:cs="仿宋_GB2312"/>
          <w:b/>
          <w:sz w:val="32"/>
          <w:szCs w:val="32"/>
        </w:rPr>
      </w:pPr>
      <w:r>
        <w:rPr>
          <w:rFonts w:hint="eastAsia" w:ascii="仿宋" w:hAnsi="仿宋" w:eastAsia="仿宋" w:cs="仿宋_GB2312"/>
          <w:b/>
          <w:sz w:val="32"/>
          <w:szCs w:val="32"/>
        </w:rPr>
        <w:t>（二）试岗。</w:t>
      </w:r>
    </w:p>
    <w:p>
      <w:pPr>
        <w:spacing w:line="360" w:lineRule="auto"/>
        <w:ind w:firstLine="627" w:firstLineChars="196"/>
        <w:contextualSpacing/>
        <w:rPr>
          <w:rFonts w:ascii="仿宋" w:hAnsi="仿宋" w:eastAsia="仿宋" w:cs="仿宋_GB2312"/>
          <w:b/>
          <w:sz w:val="32"/>
          <w:szCs w:val="32"/>
        </w:rPr>
      </w:pPr>
      <w:r>
        <w:rPr>
          <w:rFonts w:hint="eastAsia" w:ascii="仿宋" w:hAnsi="仿宋" w:eastAsia="仿宋" w:cs="仿宋_GB2312"/>
          <w:sz w:val="32"/>
          <w:szCs w:val="32"/>
        </w:rPr>
        <w:t>通过资格审查人员进入试岗程序。由相关科室负责安排符合条件的应聘者到科室进行试工考核一周，试工考核成绩占综合成绩的30%。具体时间另行通知。</w:t>
      </w:r>
    </w:p>
    <w:p>
      <w:pPr>
        <w:spacing w:line="360" w:lineRule="auto"/>
        <w:ind w:firstLine="643" w:firstLineChars="200"/>
        <w:contextualSpacing/>
        <w:rPr>
          <w:rFonts w:ascii="仿宋" w:hAnsi="仿宋" w:eastAsia="仿宋"/>
          <w:sz w:val="32"/>
          <w:szCs w:val="32"/>
        </w:rPr>
      </w:pPr>
      <w:r>
        <w:rPr>
          <w:rFonts w:hint="eastAsia" w:ascii="仿宋" w:hAnsi="仿宋" w:eastAsia="仿宋"/>
          <w:b/>
          <w:sz w:val="32"/>
          <w:szCs w:val="32"/>
        </w:rPr>
        <w:t>(三)面试。</w:t>
      </w:r>
      <w:r>
        <w:rPr>
          <w:rFonts w:hint="eastAsia" w:ascii="仿宋" w:hAnsi="仿宋" w:eastAsia="仿宋"/>
          <w:sz w:val="32"/>
          <w:szCs w:val="32"/>
        </w:rPr>
        <w:t>重点测评应聘人员与岗位相适应的基本知识、基本技能和基本素质等方面的综合能力。对符合招聘条件的高层次人才，报名人数与招聘岗位形成竞争比例的（即：报名人数与招聘岗位比大于1：1），由我院统一组织面试，市卫健委、市人社局和市纪委派驻卫健委纪检组指导监督。对未形成竞争比例的（即：报名人数与招聘岗位比等1：1），由我院进行考核。</w:t>
      </w:r>
    </w:p>
    <w:p>
      <w:pPr>
        <w:spacing w:line="360" w:lineRule="auto"/>
        <w:ind w:firstLine="790" w:firstLineChars="246"/>
        <w:contextualSpacing/>
        <w:rPr>
          <w:rFonts w:ascii="仿宋" w:hAnsi="仿宋" w:eastAsia="仿宋"/>
          <w:sz w:val="32"/>
          <w:szCs w:val="32"/>
        </w:rPr>
      </w:pPr>
      <w:r>
        <w:rPr>
          <w:rFonts w:hint="eastAsia" w:ascii="仿宋" w:hAnsi="仿宋" w:eastAsia="仿宋"/>
          <w:b/>
          <w:sz w:val="32"/>
          <w:szCs w:val="32"/>
        </w:rPr>
        <w:t>1、面试时间:</w:t>
      </w:r>
      <w:r>
        <w:rPr>
          <w:rFonts w:hint="eastAsia" w:ascii="仿宋" w:hAnsi="仿宋" w:eastAsia="仿宋"/>
          <w:sz w:val="32"/>
          <w:szCs w:val="32"/>
        </w:rPr>
        <w:t>另行通知。</w:t>
      </w:r>
    </w:p>
    <w:p>
      <w:pPr>
        <w:spacing w:line="360" w:lineRule="auto"/>
        <w:ind w:firstLine="790" w:firstLineChars="246"/>
        <w:contextualSpacing/>
        <w:rPr>
          <w:rFonts w:ascii="仿宋" w:hAnsi="仿宋" w:eastAsia="仿宋"/>
          <w:sz w:val="32"/>
          <w:szCs w:val="32"/>
        </w:rPr>
      </w:pPr>
      <w:r>
        <w:rPr>
          <w:rFonts w:hint="eastAsia" w:ascii="仿宋" w:hAnsi="仿宋" w:eastAsia="仿宋"/>
          <w:b/>
          <w:sz w:val="32"/>
          <w:szCs w:val="32"/>
        </w:rPr>
        <w:t>2、面试地点:</w:t>
      </w:r>
      <w:r>
        <w:rPr>
          <w:rFonts w:hint="eastAsia" w:ascii="仿宋" w:hAnsi="仿宋" w:eastAsia="仿宋"/>
          <w:sz w:val="32"/>
          <w:szCs w:val="32"/>
        </w:rPr>
        <w:t>十堰市中医医院四楼会议室(行政办公</w:t>
      </w:r>
    </w:p>
    <w:p>
      <w:pPr>
        <w:spacing w:line="360" w:lineRule="auto"/>
        <w:contextualSpacing/>
        <w:rPr>
          <w:rFonts w:ascii="仿宋" w:hAnsi="仿宋" w:eastAsia="仿宋"/>
          <w:sz w:val="32"/>
          <w:szCs w:val="32"/>
        </w:rPr>
      </w:pPr>
      <w:r>
        <w:rPr>
          <w:rFonts w:hint="eastAsia" w:ascii="仿宋" w:hAnsi="仿宋" w:eastAsia="仿宋"/>
          <w:sz w:val="32"/>
          <w:szCs w:val="32"/>
        </w:rPr>
        <w:t>楼四楼)。考生持本人第二代身份证原件参加面试。未按要求参加面试的或逾期未到的，视为自动放弃资格。</w:t>
      </w:r>
    </w:p>
    <w:p>
      <w:pPr>
        <w:spacing w:line="360" w:lineRule="auto"/>
        <w:ind w:firstLine="803" w:firstLineChars="250"/>
        <w:contextualSpacing/>
        <w:rPr>
          <w:rFonts w:ascii="仿宋" w:hAnsi="仿宋" w:eastAsia="仿宋" w:cs="宋体"/>
          <w:sz w:val="32"/>
          <w:szCs w:val="32"/>
        </w:rPr>
      </w:pPr>
      <w:r>
        <w:rPr>
          <w:rFonts w:hint="eastAsia" w:ascii="仿宋" w:hAnsi="仿宋" w:eastAsia="仿宋"/>
          <w:b/>
          <w:sz w:val="32"/>
          <w:szCs w:val="32"/>
        </w:rPr>
        <w:t>3、成绩计算。</w:t>
      </w:r>
      <w:r>
        <w:rPr>
          <w:rFonts w:hint="eastAsia" w:ascii="仿宋" w:hAnsi="仿宋" w:eastAsia="仿宋" w:cs="宋体"/>
          <w:sz w:val="32"/>
          <w:szCs w:val="32"/>
        </w:rPr>
        <w:t>成绩满分为100分，面试成绩、笔试成绩及试岗成绩按比例折算，科室试工（30%）+笔试（30%）+面试成绩40%，得出最后综合成绩。</w:t>
      </w:r>
    </w:p>
    <w:p>
      <w:pPr>
        <w:spacing w:line="360" w:lineRule="auto"/>
        <w:ind w:firstLine="803" w:firstLineChars="250"/>
        <w:contextualSpacing/>
        <w:rPr>
          <w:rFonts w:ascii="仿宋" w:hAnsi="仿宋" w:eastAsia="仿宋"/>
          <w:b/>
          <w:sz w:val="32"/>
          <w:szCs w:val="32"/>
        </w:rPr>
      </w:pPr>
      <w:r>
        <w:rPr>
          <w:rFonts w:hint="eastAsia" w:ascii="仿宋" w:hAnsi="仿宋" w:eastAsia="仿宋"/>
          <w:b/>
          <w:sz w:val="32"/>
          <w:szCs w:val="32"/>
        </w:rPr>
        <w:t>(四)综合成绩公示。</w:t>
      </w:r>
    </w:p>
    <w:p>
      <w:pPr>
        <w:spacing w:line="360" w:lineRule="auto"/>
        <w:ind w:firstLine="800" w:firstLineChars="250"/>
        <w:contextualSpacing/>
        <w:rPr>
          <w:rFonts w:ascii="仿宋" w:hAnsi="仿宋" w:eastAsia="仿宋"/>
          <w:sz w:val="32"/>
          <w:szCs w:val="32"/>
        </w:rPr>
      </w:pPr>
      <w:r>
        <w:rPr>
          <w:rFonts w:hint="eastAsia" w:ascii="仿宋" w:hAnsi="仿宋" w:eastAsia="仿宋"/>
          <w:sz w:val="32"/>
          <w:szCs w:val="32"/>
        </w:rPr>
        <w:t>综合成绩从高到低按招聘岗位1:1的比例确定进入体检人选。经院党委会研究后，面试结束的当天，在十堰市中医医院官网对进入体检人选进行公示，公示期5个工作日。</w:t>
      </w:r>
    </w:p>
    <w:p>
      <w:pPr>
        <w:spacing w:line="360" w:lineRule="auto"/>
        <w:ind w:firstLine="803" w:firstLineChars="250"/>
        <w:contextualSpacing/>
        <w:rPr>
          <w:rFonts w:ascii="仿宋" w:hAnsi="仿宋" w:eastAsia="仿宋"/>
          <w:b/>
          <w:sz w:val="32"/>
          <w:szCs w:val="32"/>
        </w:rPr>
      </w:pPr>
      <w:r>
        <w:rPr>
          <w:rFonts w:hint="eastAsia" w:ascii="仿宋" w:hAnsi="仿宋" w:eastAsia="仿宋"/>
          <w:b/>
          <w:sz w:val="32"/>
          <w:szCs w:val="32"/>
        </w:rPr>
        <w:t>(五)体检、考察。</w:t>
      </w:r>
    </w:p>
    <w:p>
      <w:pPr>
        <w:spacing w:line="360" w:lineRule="auto"/>
        <w:ind w:firstLine="640" w:firstLineChars="200"/>
        <w:contextualSpacing/>
        <w:rPr>
          <w:rFonts w:ascii="仿宋" w:hAnsi="仿宋" w:eastAsia="仿宋" w:cs="Arial"/>
          <w:color w:val="000000"/>
          <w:sz w:val="32"/>
          <w:szCs w:val="32"/>
        </w:rPr>
      </w:pPr>
      <w:r>
        <w:rPr>
          <w:rFonts w:hint="eastAsia" w:ascii="仿宋" w:hAnsi="仿宋" w:eastAsia="仿宋" w:cs="Arial"/>
          <w:color w:val="000000"/>
          <w:sz w:val="32"/>
          <w:szCs w:val="32"/>
        </w:rPr>
        <w:t>体检由十堰市中医医院统一组织。体检参照《关于进一步做好公务员考试录用体检工作的通知》(人社部发〔2012〕65号)、《关于修订《公务员录用体检通用标准(试行)》及《公务员录用体检操作手册(试行)》有关内容的通知》(人社部发[2016]140号)等规定组织实施和行业有关规定执行。体检合格人员由市十堰市中医医院采取函调、档案考察或实地考察等形式对现实表现情况进行考察。</w:t>
      </w:r>
    </w:p>
    <w:p>
      <w:pPr>
        <w:spacing w:line="360" w:lineRule="auto"/>
        <w:ind w:firstLine="643" w:firstLineChars="200"/>
        <w:contextualSpacing/>
        <w:rPr>
          <w:rFonts w:ascii="仿宋" w:hAnsi="仿宋" w:eastAsia="仿宋" w:cs="Times New Roman"/>
          <w:b/>
          <w:bCs/>
          <w:kern w:val="2"/>
          <w:sz w:val="32"/>
          <w:szCs w:val="32"/>
        </w:rPr>
      </w:pPr>
      <w:r>
        <w:rPr>
          <w:rFonts w:hint="eastAsia" w:ascii="仿宋" w:hAnsi="仿宋" w:eastAsia="仿宋"/>
          <w:b/>
          <w:sz w:val="32"/>
          <w:szCs w:val="32"/>
        </w:rPr>
        <w:t>(六)</w:t>
      </w:r>
      <w:r>
        <w:rPr>
          <w:rFonts w:hint="eastAsia" w:ascii="仿宋" w:hAnsi="仿宋" w:eastAsia="仿宋" w:cs="Times New Roman"/>
          <w:b/>
          <w:bCs/>
          <w:kern w:val="2"/>
          <w:sz w:val="32"/>
          <w:szCs w:val="32"/>
          <w:lang w:eastAsia="zh-CN"/>
        </w:rPr>
        <w:t>拟聘用</w:t>
      </w:r>
      <w:r>
        <w:rPr>
          <w:rFonts w:hint="eastAsia" w:ascii="仿宋" w:hAnsi="仿宋" w:eastAsia="仿宋" w:cs="Times New Roman"/>
          <w:b/>
          <w:bCs/>
          <w:kern w:val="2"/>
          <w:sz w:val="32"/>
          <w:szCs w:val="32"/>
        </w:rPr>
        <w:t>人员公示。</w:t>
      </w:r>
    </w:p>
    <w:p>
      <w:pPr>
        <w:spacing w:line="360" w:lineRule="auto"/>
        <w:ind w:left="640"/>
        <w:contextualSpacing/>
        <w:rPr>
          <w:rFonts w:ascii="仿宋" w:hAnsi="仿宋" w:eastAsia="仿宋" w:cs="Arial"/>
          <w:bCs/>
          <w:color w:val="000000"/>
          <w:sz w:val="32"/>
          <w:szCs w:val="32"/>
        </w:rPr>
      </w:pPr>
      <w:r>
        <w:rPr>
          <w:rFonts w:hint="eastAsia" w:ascii="仿宋" w:hAnsi="仿宋" w:eastAsia="仿宋" w:cs="Arial"/>
          <w:bCs/>
          <w:color w:val="000000"/>
          <w:sz w:val="32"/>
          <w:szCs w:val="32"/>
        </w:rPr>
        <w:t>经笔试、面试、体检、考察后，确定拟聘用人选，通</w:t>
      </w:r>
    </w:p>
    <w:p>
      <w:pPr>
        <w:spacing w:line="360" w:lineRule="auto"/>
        <w:contextualSpacing/>
        <w:rPr>
          <w:rFonts w:ascii="仿宋" w:hAnsi="仿宋" w:eastAsia="仿宋" w:cs="Arial"/>
          <w:bCs/>
          <w:color w:val="000000"/>
          <w:sz w:val="32"/>
          <w:szCs w:val="32"/>
        </w:rPr>
      </w:pPr>
      <w:r>
        <w:rPr>
          <w:rFonts w:hint="eastAsia" w:ascii="仿宋" w:hAnsi="仿宋" w:eastAsia="仿宋" w:cs="Arial"/>
          <w:bCs/>
          <w:color w:val="000000"/>
          <w:sz w:val="32"/>
          <w:szCs w:val="32"/>
        </w:rPr>
        <w:t xml:space="preserve">过十堰市卫生健康委员会网站和十堰市中医医院官网公示，公示期不少于7个工作日。经公示无异议后确定聘用人选。   </w:t>
      </w:r>
    </w:p>
    <w:p>
      <w:pPr>
        <w:spacing w:line="360" w:lineRule="auto"/>
        <w:ind w:firstLine="643" w:firstLineChars="200"/>
        <w:contextualSpacing/>
        <w:rPr>
          <w:rFonts w:ascii="仿宋" w:hAnsi="仿宋" w:eastAsia="仿宋"/>
          <w:b/>
          <w:bCs/>
          <w:sz w:val="32"/>
          <w:szCs w:val="32"/>
        </w:rPr>
      </w:pPr>
      <w:r>
        <w:rPr>
          <w:rFonts w:hint="eastAsia" w:ascii="仿宋" w:hAnsi="仿宋" w:eastAsia="仿宋"/>
          <w:b/>
          <w:bCs/>
          <w:sz w:val="32"/>
          <w:szCs w:val="32"/>
        </w:rPr>
        <w:t>（七）聘用审批。</w:t>
      </w:r>
    </w:p>
    <w:p>
      <w:pPr>
        <w:spacing w:line="360" w:lineRule="auto"/>
        <w:ind w:firstLine="640" w:firstLineChars="200"/>
        <w:contextualSpacing/>
        <w:rPr>
          <w:rFonts w:ascii="仿宋" w:hAnsi="仿宋" w:eastAsia="仿宋" w:cs="??_GB2312"/>
          <w:sz w:val="32"/>
          <w:szCs w:val="32"/>
        </w:rPr>
      </w:pPr>
      <w:r>
        <w:rPr>
          <w:rFonts w:hint="eastAsia" w:ascii="仿宋" w:hAnsi="仿宋" w:eastAsia="仿宋" w:cs="??_GB2312"/>
          <w:sz w:val="32"/>
          <w:szCs w:val="32"/>
        </w:rPr>
        <w:t>公示期满后，如无问题，十堰市中医医院按照国家事业单位人事管理的有关规定办理编制及聘用手续，签订聘用制合同，试用期一年。试用期满后，符合人才认定的人员享受相关政策。试用期考核不合格人员，取消聘用资格。</w:t>
      </w:r>
    </w:p>
    <w:p>
      <w:pPr>
        <w:spacing w:line="360" w:lineRule="auto"/>
        <w:ind w:firstLine="640" w:firstLineChars="200"/>
        <w:contextualSpacing/>
        <w:rPr>
          <w:rFonts w:ascii="仿宋" w:hAnsi="仿宋" w:eastAsia="仿宋" w:cs="??_GB2312"/>
          <w:sz w:val="32"/>
          <w:szCs w:val="32"/>
        </w:rPr>
      </w:pPr>
      <w:r>
        <w:rPr>
          <w:rFonts w:hint="eastAsia" w:ascii="仿宋" w:hAnsi="仿宋" w:eastAsia="仿宋" w:cs="??_GB2312"/>
          <w:sz w:val="32"/>
          <w:szCs w:val="32"/>
        </w:rPr>
        <w:t>被聘人员无正当理由逾期(自接到招聘单位聘用通知20日内)不报到的，取消聘用资格。十堰市中医医院可根据需要按综合成绩排名递补人员体检和考察。</w:t>
      </w:r>
    </w:p>
    <w:p>
      <w:pPr>
        <w:spacing w:line="360" w:lineRule="auto"/>
        <w:ind w:firstLine="640" w:firstLineChars="200"/>
        <w:contextualSpacing/>
        <w:rPr>
          <w:rFonts w:ascii="仿宋" w:hAnsi="仿宋" w:eastAsia="仿宋" w:cs="??_GB2312"/>
          <w:sz w:val="32"/>
          <w:szCs w:val="32"/>
        </w:rPr>
      </w:pPr>
      <w:r>
        <w:rPr>
          <w:rFonts w:hint="eastAsia" w:ascii="仿宋" w:hAnsi="仿宋" w:eastAsia="仿宋" w:cs="??_GB2312"/>
          <w:sz w:val="32"/>
          <w:szCs w:val="32"/>
        </w:rPr>
        <w:t xml:space="preserve">招聘咨询电话:   </w:t>
      </w:r>
    </w:p>
    <w:p>
      <w:pPr>
        <w:spacing w:line="360" w:lineRule="auto"/>
        <w:ind w:firstLine="640" w:firstLineChars="200"/>
        <w:contextualSpacing/>
        <w:rPr>
          <w:rFonts w:ascii="仿宋" w:hAnsi="仿宋" w:eastAsia="仿宋" w:cs="??_GB2312"/>
          <w:sz w:val="32"/>
          <w:szCs w:val="32"/>
        </w:rPr>
      </w:pPr>
      <w:r>
        <w:rPr>
          <w:rFonts w:hint="eastAsia" w:ascii="仿宋" w:hAnsi="仿宋" w:eastAsia="仿宋" w:cs="??_GB2312"/>
          <w:sz w:val="32"/>
          <w:szCs w:val="32"/>
        </w:rPr>
        <w:t>十堰市中医医院人事科：0719-8781061</w:t>
      </w:r>
    </w:p>
    <w:p>
      <w:pPr>
        <w:spacing w:line="360" w:lineRule="auto"/>
        <w:ind w:firstLine="640" w:firstLineChars="200"/>
        <w:contextualSpacing/>
        <w:rPr>
          <w:rFonts w:ascii="仿宋" w:hAnsi="仿宋" w:eastAsia="仿宋" w:cs="??_GB2312"/>
          <w:sz w:val="32"/>
          <w:szCs w:val="32"/>
        </w:rPr>
      </w:pPr>
      <w:r>
        <w:rPr>
          <w:rFonts w:hint="eastAsia" w:ascii="仿宋" w:hAnsi="仿宋" w:eastAsia="仿宋" w:cs="??_GB2312"/>
          <w:sz w:val="32"/>
          <w:szCs w:val="32"/>
        </w:rPr>
        <w:t>（地址：十堰市茅箭区丹江路1号）</w:t>
      </w:r>
    </w:p>
    <w:p>
      <w:pPr>
        <w:spacing w:line="360" w:lineRule="auto"/>
        <w:ind w:firstLine="1744" w:firstLineChars="545"/>
        <w:contextualSpacing/>
        <w:rPr>
          <w:rFonts w:ascii="仿宋" w:hAnsi="仿宋" w:eastAsia="仿宋" w:cs="??_GB2312"/>
          <w:sz w:val="32"/>
          <w:szCs w:val="32"/>
        </w:rPr>
      </w:pPr>
    </w:p>
    <w:p>
      <w:pPr>
        <w:spacing w:line="360" w:lineRule="auto"/>
        <w:ind w:left="2225" w:leftChars="357" w:hanging="1440" w:hangingChars="450"/>
        <w:contextualSpacing/>
        <w:rPr>
          <w:rFonts w:ascii="仿宋" w:hAnsi="仿宋" w:eastAsia="仿宋" w:cs="??_GB2312"/>
          <w:sz w:val="32"/>
          <w:szCs w:val="32"/>
        </w:rPr>
      </w:pPr>
      <w:r>
        <w:rPr>
          <w:rFonts w:hint="eastAsia" w:ascii="仿宋" w:hAnsi="仿宋" w:eastAsia="仿宋" w:cs="??_GB2312"/>
          <w:sz w:val="32"/>
          <w:szCs w:val="32"/>
        </w:rPr>
        <w:t>附件：1、十堰市中医医院高层次人才招聘岗位和条件一览表</w:t>
      </w:r>
    </w:p>
    <w:p>
      <w:pPr>
        <w:spacing w:line="360" w:lineRule="auto"/>
        <w:ind w:firstLine="1744" w:firstLineChars="545"/>
        <w:contextualSpacing/>
        <w:rPr>
          <w:rFonts w:ascii="仿宋" w:hAnsi="仿宋" w:eastAsia="仿宋" w:cs="??_GB2312"/>
          <w:sz w:val="32"/>
          <w:szCs w:val="32"/>
        </w:rPr>
      </w:pPr>
      <w:r>
        <w:rPr>
          <w:rFonts w:hint="eastAsia" w:ascii="仿宋" w:hAnsi="仿宋" w:eastAsia="仿宋" w:cs="??_GB2312"/>
          <w:sz w:val="32"/>
          <w:szCs w:val="32"/>
        </w:rPr>
        <w:t>2、事业单位公开招聘工作人员报名表</w:t>
      </w:r>
    </w:p>
    <w:p>
      <w:pPr>
        <w:spacing w:line="360" w:lineRule="auto"/>
        <w:ind w:firstLine="1744" w:firstLineChars="545"/>
        <w:contextualSpacing/>
        <w:rPr>
          <w:rFonts w:ascii="仿宋_GB2312" w:eastAsia="仿宋_GB2312"/>
          <w:sz w:val="32"/>
          <w:szCs w:val="32"/>
        </w:rPr>
      </w:pPr>
      <w:r>
        <w:rPr>
          <w:rFonts w:hint="eastAsia" w:ascii="仿宋" w:hAnsi="仿宋" w:eastAsia="仿宋" w:cs="??_GB2312"/>
          <w:sz w:val="32"/>
          <w:szCs w:val="32"/>
        </w:rPr>
        <w:t>3、应聘事业单位工作人员诚信承诺书</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docVars>
    <w:docVar w:name="commondata" w:val="eyJoZGlkIjoiMjI3ZGM2OTI5ZTk0MjYyMjYwYWYxNDhlYjdhOGYxMTYifQ=="/>
  </w:docVars>
  <w:rsids>
    <w:rsidRoot w:val="00D31D50"/>
    <w:rsid w:val="00000AAD"/>
    <w:rsid w:val="00017C11"/>
    <w:rsid w:val="000450E3"/>
    <w:rsid w:val="00056396"/>
    <w:rsid w:val="000A14C2"/>
    <w:rsid w:val="000B625C"/>
    <w:rsid w:val="000C4E44"/>
    <w:rsid w:val="000E1714"/>
    <w:rsid w:val="000F1B54"/>
    <w:rsid w:val="00111D59"/>
    <w:rsid w:val="00134C77"/>
    <w:rsid w:val="00197384"/>
    <w:rsid w:val="001A3F08"/>
    <w:rsid w:val="001A5B0F"/>
    <w:rsid w:val="001C1491"/>
    <w:rsid w:val="001C5B13"/>
    <w:rsid w:val="001E6C01"/>
    <w:rsid w:val="0020126A"/>
    <w:rsid w:val="0020511A"/>
    <w:rsid w:val="00213627"/>
    <w:rsid w:val="00224300"/>
    <w:rsid w:val="00247F66"/>
    <w:rsid w:val="002628ED"/>
    <w:rsid w:val="002966AA"/>
    <w:rsid w:val="002A1A8F"/>
    <w:rsid w:val="0031090F"/>
    <w:rsid w:val="00313C40"/>
    <w:rsid w:val="00323B43"/>
    <w:rsid w:val="0032662A"/>
    <w:rsid w:val="00352DEE"/>
    <w:rsid w:val="00387A11"/>
    <w:rsid w:val="00397E4E"/>
    <w:rsid w:val="003A6739"/>
    <w:rsid w:val="003B7B11"/>
    <w:rsid w:val="003D0D55"/>
    <w:rsid w:val="003D37D8"/>
    <w:rsid w:val="003E057A"/>
    <w:rsid w:val="003F73C8"/>
    <w:rsid w:val="004046DA"/>
    <w:rsid w:val="00421D50"/>
    <w:rsid w:val="00426133"/>
    <w:rsid w:val="004358AB"/>
    <w:rsid w:val="00475DA6"/>
    <w:rsid w:val="004962F2"/>
    <w:rsid w:val="004B714C"/>
    <w:rsid w:val="004C1265"/>
    <w:rsid w:val="004E6BD0"/>
    <w:rsid w:val="00515251"/>
    <w:rsid w:val="00516DBC"/>
    <w:rsid w:val="0052398D"/>
    <w:rsid w:val="005750B4"/>
    <w:rsid w:val="005E26C7"/>
    <w:rsid w:val="005F2DAB"/>
    <w:rsid w:val="005F5466"/>
    <w:rsid w:val="00617636"/>
    <w:rsid w:val="00635268"/>
    <w:rsid w:val="00640BB1"/>
    <w:rsid w:val="00645D2F"/>
    <w:rsid w:val="006532BD"/>
    <w:rsid w:val="00656301"/>
    <w:rsid w:val="00662916"/>
    <w:rsid w:val="00666A16"/>
    <w:rsid w:val="00666CAD"/>
    <w:rsid w:val="006852F7"/>
    <w:rsid w:val="006C308D"/>
    <w:rsid w:val="006D1450"/>
    <w:rsid w:val="006D40CD"/>
    <w:rsid w:val="006F5DDD"/>
    <w:rsid w:val="0071190B"/>
    <w:rsid w:val="00716EC0"/>
    <w:rsid w:val="00762D65"/>
    <w:rsid w:val="0077578D"/>
    <w:rsid w:val="0079408C"/>
    <w:rsid w:val="007A23C7"/>
    <w:rsid w:val="007A4049"/>
    <w:rsid w:val="007A51C3"/>
    <w:rsid w:val="007C76A9"/>
    <w:rsid w:val="007D2D1B"/>
    <w:rsid w:val="007E59E7"/>
    <w:rsid w:val="00800E15"/>
    <w:rsid w:val="00823B2F"/>
    <w:rsid w:val="008366B0"/>
    <w:rsid w:val="0084237C"/>
    <w:rsid w:val="00843201"/>
    <w:rsid w:val="00853BC2"/>
    <w:rsid w:val="0088251E"/>
    <w:rsid w:val="00885CB2"/>
    <w:rsid w:val="008920CA"/>
    <w:rsid w:val="00893EBE"/>
    <w:rsid w:val="008B0760"/>
    <w:rsid w:val="008B7726"/>
    <w:rsid w:val="008C0D7A"/>
    <w:rsid w:val="008C74FC"/>
    <w:rsid w:val="008F78FC"/>
    <w:rsid w:val="009002BE"/>
    <w:rsid w:val="00906551"/>
    <w:rsid w:val="0092523B"/>
    <w:rsid w:val="0093224A"/>
    <w:rsid w:val="009328CA"/>
    <w:rsid w:val="009330AC"/>
    <w:rsid w:val="009419A3"/>
    <w:rsid w:val="00983FEE"/>
    <w:rsid w:val="00992D2A"/>
    <w:rsid w:val="009A7605"/>
    <w:rsid w:val="009C071E"/>
    <w:rsid w:val="009C4464"/>
    <w:rsid w:val="009D721D"/>
    <w:rsid w:val="009F2C0A"/>
    <w:rsid w:val="00A126E8"/>
    <w:rsid w:val="00A754E9"/>
    <w:rsid w:val="00A93916"/>
    <w:rsid w:val="00AB3571"/>
    <w:rsid w:val="00AC3C8A"/>
    <w:rsid w:val="00B02488"/>
    <w:rsid w:val="00B2439B"/>
    <w:rsid w:val="00B43860"/>
    <w:rsid w:val="00B62175"/>
    <w:rsid w:val="00B7215D"/>
    <w:rsid w:val="00B82914"/>
    <w:rsid w:val="00B86835"/>
    <w:rsid w:val="00B93D49"/>
    <w:rsid w:val="00BC14D4"/>
    <w:rsid w:val="00C359F1"/>
    <w:rsid w:val="00C610B0"/>
    <w:rsid w:val="00C7271D"/>
    <w:rsid w:val="00C80F52"/>
    <w:rsid w:val="00C84FBE"/>
    <w:rsid w:val="00C85599"/>
    <w:rsid w:val="00C967B6"/>
    <w:rsid w:val="00CA6EE3"/>
    <w:rsid w:val="00CB3678"/>
    <w:rsid w:val="00CB37F5"/>
    <w:rsid w:val="00CC05E5"/>
    <w:rsid w:val="00CC3944"/>
    <w:rsid w:val="00CC3EC3"/>
    <w:rsid w:val="00CD7C66"/>
    <w:rsid w:val="00CE305C"/>
    <w:rsid w:val="00D01BAE"/>
    <w:rsid w:val="00D0778E"/>
    <w:rsid w:val="00D2274E"/>
    <w:rsid w:val="00D24A96"/>
    <w:rsid w:val="00D308A2"/>
    <w:rsid w:val="00D31D50"/>
    <w:rsid w:val="00D36F69"/>
    <w:rsid w:val="00D82552"/>
    <w:rsid w:val="00DB1504"/>
    <w:rsid w:val="00E002F9"/>
    <w:rsid w:val="00E219CC"/>
    <w:rsid w:val="00E747DE"/>
    <w:rsid w:val="00E812E6"/>
    <w:rsid w:val="00EA1EEE"/>
    <w:rsid w:val="00EA4499"/>
    <w:rsid w:val="00EB6623"/>
    <w:rsid w:val="00ED061A"/>
    <w:rsid w:val="00ED3CCA"/>
    <w:rsid w:val="00EE5DB8"/>
    <w:rsid w:val="00F22496"/>
    <w:rsid w:val="00F36EE1"/>
    <w:rsid w:val="00F54AAF"/>
    <w:rsid w:val="00F73DD1"/>
    <w:rsid w:val="00F80042"/>
    <w:rsid w:val="00F96613"/>
    <w:rsid w:val="00FB5BD0"/>
    <w:rsid w:val="00FD79E0"/>
    <w:rsid w:val="00FE6033"/>
    <w:rsid w:val="023F0464"/>
    <w:rsid w:val="026305F6"/>
    <w:rsid w:val="029D3556"/>
    <w:rsid w:val="032032D5"/>
    <w:rsid w:val="036068E4"/>
    <w:rsid w:val="03DD7F34"/>
    <w:rsid w:val="04561A95"/>
    <w:rsid w:val="04FD0C1C"/>
    <w:rsid w:val="091A79E0"/>
    <w:rsid w:val="0A34576B"/>
    <w:rsid w:val="0ABF0394"/>
    <w:rsid w:val="0ADF27E4"/>
    <w:rsid w:val="0B123187"/>
    <w:rsid w:val="0B4515BF"/>
    <w:rsid w:val="0BDF08C1"/>
    <w:rsid w:val="0D1B387B"/>
    <w:rsid w:val="0D542EB0"/>
    <w:rsid w:val="0E1C78AB"/>
    <w:rsid w:val="10BB5179"/>
    <w:rsid w:val="14361DB7"/>
    <w:rsid w:val="1523776B"/>
    <w:rsid w:val="168B3FDA"/>
    <w:rsid w:val="16FC6CCD"/>
    <w:rsid w:val="1A89276C"/>
    <w:rsid w:val="1BCE46C1"/>
    <w:rsid w:val="1CB6711D"/>
    <w:rsid w:val="1DEF6D8A"/>
    <w:rsid w:val="1E4560F9"/>
    <w:rsid w:val="1E5E7A6C"/>
    <w:rsid w:val="24B07C4E"/>
    <w:rsid w:val="2AE87C87"/>
    <w:rsid w:val="2AEA2197"/>
    <w:rsid w:val="2D297497"/>
    <w:rsid w:val="2E76670C"/>
    <w:rsid w:val="2E99146B"/>
    <w:rsid w:val="301461DC"/>
    <w:rsid w:val="30360848"/>
    <w:rsid w:val="30925DAF"/>
    <w:rsid w:val="311410B6"/>
    <w:rsid w:val="3344502A"/>
    <w:rsid w:val="33600076"/>
    <w:rsid w:val="336B25B7"/>
    <w:rsid w:val="33AF249E"/>
    <w:rsid w:val="3451224B"/>
    <w:rsid w:val="356279EA"/>
    <w:rsid w:val="382E3F13"/>
    <w:rsid w:val="39DA359D"/>
    <w:rsid w:val="3B46294E"/>
    <w:rsid w:val="40EF62BA"/>
    <w:rsid w:val="41BA3087"/>
    <w:rsid w:val="43E837B0"/>
    <w:rsid w:val="449E6066"/>
    <w:rsid w:val="44FC1A78"/>
    <w:rsid w:val="482537A1"/>
    <w:rsid w:val="49FC23B0"/>
    <w:rsid w:val="4CD85A26"/>
    <w:rsid w:val="4F4C1097"/>
    <w:rsid w:val="535B2362"/>
    <w:rsid w:val="543A1709"/>
    <w:rsid w:val="5A9F6E67"/>
    <w:rsid w:val="5EF22E4F"/>
    <w:rsid w:val="615A5895"/>
    <w:rsid w:val="65A417D5"/>
    <w:rsid w:val="674E7C4A"/>
    <w:rsid w:val="674F7345"/>
    <w:rsid w:val="67876CB8"/>
    <w:rsid w:val="683926A8"/>
    <w:rsid w:val="6A9C68EB"/>
    <w:rsid w:val="6B2B7F1E"/>
    <w:rsid w:val="6B95409A"/>
    <w:rsid w:val="6D97577B"/>
    <w:rsid w:val="6DCD73EF"/>
    <w:rsid w:val="6E8D2E7F"/>
    <w:rsid w:val="6FEF189F"/>
    <w:rsid w:val="72331F17"/>
    <w:rsid w:val="73940E5C"/>
    <w:rsid w:val="75A71C3E"/>
    <w:rsid w:val="75BC2223"/>
    <w:rsid w:val="78A70F68"/>
    <w:rsid w:val="78F148D9"/>
    <w:rsid w:val="79B17BC5"/>
    <w:rsid w:val="79D00993"/>
    <w:rsid w:val="7C015F94"/>
    <w:rsid w:val="7C0E5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header"/>
    <w:basedOn w:val="1"/>
    <w:next w:val="3"/>
    <w:link w:val="11"/>
    <w:autoRedefine/>
    <w:unhideWhenUsed/>
    <w:qFormat/>
    <w:uiPriority w:val="99"/>
    <w:pPr>
      <w:pBdr>
        <w:bottom w:val="single" w:color="auto" w:sz="6" w:space="1"/>
      </w:pBdr>
      <w:tabs>
        <w:tab w:val="center" w:pos="4153"/>
        <w:tab w:val="right" w:pos="8306"/>
      </w:tabs>
      <w:jc w:val="center"/>
    </w:pPr>
    <w:rPr>
      <w:sz w:val="18"/>
      <w:szCs w:val="18"/>
    </w:rPr>
  </w:style>
  <w:style w:type="paragraph" w:styleId="3">
    <w:name w:val="Plain Text"/>
    <w:basedOn w:val="1"/>
    <w:autoRedefine/>
    <w:qFormat/>
    <w:uiPriority w:val="0"/>
    <w:rPr>
      <w:rFonts w:ascii="仿宋_GB2312" w:hAnsi="仿宋_GB2312" w:eastAsia="Times New Roman" w:cs="Courier New"/>
      <w:szCs w:val="21"/>
    </w:rPr>
  </w:style>
  <w:style w:type="paragraph" w:styleId="4">
    <w:name w:val="index 5"/>
    <w:next w:val="1"/>
    <w:autoRedefine/>
    <w:qFormat/>
    <w:uiPriority w:val="0"/>
    <w:pPr>
      <w:widowControl w:val="0"/>
      <w:ind w:left="1680" w:firstLine="200" w:firstLineChars="200"/>
      <w:jc w:val="both"/>
    </w:pPr>
    <w:rPr>
      <w:rFonts w:ascii="Times New Roman" w:hAnsi="Times New Roman" w:eastAsia="宋体" w:cs="Times New Roman"/>
      <w:b/>
      <w:bCs/>
      <w:kern w:val="2"/>
      <w:sz w:val="21"/>
      <w:szCs w:val="21"/>
      <w:lang w:val="en-US" w:eastAsia="zh-CN" w:bidi="ar-SA"/>
    </w:rPr>
  </w:style>
  <w:style w:type="paragraph" w:styleId="5">
    <w:name w:val="Balloon Text"/>
    <w:basedOn w:val="1"/>
    <w:link w:val="13"/>
    <w:autoRedefine/>
    <w:semiHidden/>
    <w:unhideWhenUsed/>
    <w:qFormat/>
    <w:uiPriority w:val="99"/>
    <w:pPr>
      <w:spacing w:after="0"/>
    </w:pPr>
    <w:rPr>
      <w:sz w:val="18"/>
      <w:szCs w:val="18"/>
    </w:rPr>
  </w:style>
  <w:style w:type="paragraph" w:styleId="6">
    <w:name w:val="footer"/>
    <w:basedOn w:val="1"/>
    <w:link w:val="12"/>
    <w:autoRedefine/>
    <w:unhideWhenUsed/>
    <w:qFormat/>
    <w:uiPriority w:val="99"/>
    <w:pPr>
      <w:tabs>
        <w:tab w:val="center" w:pos="4153"/>
        <w:tab w:val="right" w:pos="8306"/>
      </w:tabs>
    </w:pPr>
    <w:rPr>
      <w:sz w:val="18"/>
      <w:szCs w:val="18"/>
    </w:rPr>
  </w:style>
  <w:style w:type="paragraph" w:styleId="7">
    <w:name w:val="Normal (Web)"/>
    <w:basedOn w:val="1"/>
    <w:autoRedefine/>
    <w:qFormat/>
    <w:uiPriority w:val="0"/>
    <w:pPr>
      <w:widowControl w:val="0"/>
      <w:adjustRightInd/>
      <w:snapToGrid/>
      <w:spacing w:after="100" w:afterAutospacing="1"/>
    </w:pPr>
    <w:rPr>
      <w:rFonts w:ascii="Calibri" w:hAnsi="Calibri" w:eastAsia="宋体" w:cs="Times New Roman"/>
      <w:sz w:val="24"/>
    </w:rPr>
  </w:style>
  <w:style w:type="paragraph" w:styleId="10">
    <w:name w:val="List Paragraph"/>
    <w:basedOn w:val="1"/>
    <w:autoRedefine/>
    <w:qFormat/>
    <w:uiPriority w:val="34"/>
    <w:pPr>
      <w:ind w:firstLine="420" w:firstLineChars="200"/>
    </w:pPr>
  </w:style>
  <w:style w:type="character" w:customStyle="1" w:styleId="11">
    <w:name w:val="页眉 Char"/>
    <w:basedOn w:val="9"/>
    <w:link w:val="2"/>
    <w:autoRedefine/>
    <w:qFormat/>
    <w:uiPriority w:val="99"/>
    <w:rPr>
      <w:rFonts w:ascii="Tahoma" w:hAnsi="Tahoma"/>
      <w:sz w:val="18"/>
      <w:szCs w:val="18"/>
    </w:rPr>
  </w:style>
  <w:style w:type="character" w:customStyle="1" w:styleId="12">
    <w:name w:val="页脚 Char"/>
    <w:basedOn w:val="9"/>
    <w:link w:val="6"/>
    <w:autoRedefine/>
    <w:qFormat/>
    <w:uiPriority w:val="99"/>
    <w:rPr>
      <w:rFonts w:ascii="Tahoma" w:hAnsi="Tahoma"/>
      <w:sz w:val="18"/>
      <w:szCs w:val="18"/>
    </w:rPr>
  </w:style>
  <w:style w:type="character" w:customStyle="1" w:styleId="13">
    <w:name w:val="批注框文本 Char"/>
    <w:basedOn w:val="9"/>
    <w:link w:val="5"/>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340</Words>
  <Characters>1940</Characters>
  <Lines>16</Lines>
  <Paragraphs>4</Paragraphs>
  <TotalTime>0</TotalTime>
  <ScaleCrop>false</ScaleCrop>
  <LinksUpToDate>false</LinksUpToDate>
  <CharactersWithSpaces>2276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2024-02-19T09:21:00Z</cp:lastPrinted>
  <dcterms:modified xsi:type="dcterms:W3CDTF">2024-05-11T00:30:33Z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D15E526DD3964E77AFB36DC7C7AC3DA0</vt:lpwstr>
  </property>
</Properties>
</file>