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0" w:lineRule="exact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附件：</w:t>
      </w:r>
      <w:r>
        <w:rPr>
          <w:rFonts w:hint="eastAsia" w:ascii="微软雅黑" w:hAnsi="微软雅黑" w:eastAsia="微软雅黑" w:cs="微软雅黑"/>
          <w:sz w:val="32"/>
          <w:szCs w:val="32"/>
        </w:rPr>
        <w:t>重庆市万州区</w:t>
      </w: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太龙</w:t>
      </w:r>
      <w:r>
        <w:rPr>
          <w:rFonts w:hint="eastAsia" w:ascii="微软雅黑" w:hAnsi="微软雅黑" w:eastAsia="微软雅黑" w:cs="微软雅黑"/>
          <w:sz w:val="32"/>
          <w:szCs w:val="32"/>
        </w:rPr>
        <w:t>镇</w:t>
      </w:r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人民政府202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2"/>
          <w:szCs w:val="32"/>
        </w:rPr>
        <w:t>年公开招聘社区专职干部</w:t>
      </w: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岗位情况一览表</w:t>
      </w:r>
    </w:p>
    <w:tbl>
      <w:tblPr>
        <w:tblStyle w:val="4"/>
        <w:tblpPr w:leftFromText="180" w:rightFromText="180" w:vertAnchor="text" w:horzAnchor="page" w:tblpX="687" w:tblpY="506"/>
        <w:tblOverlap w:val="never"/>
        <w:tblW w:w="15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984"/>
        <w:gridCol w:w="1033"/>
        <w:gridCol w:w="883"/>
        <w:gridCol w:w="1234"/>
        <w:gridCol w:w="2116"/>
        <w:gridCol w:w="1334"/>
        <w:gridCol w:w="405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招聘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招聘人数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学历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要求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专业要求</w:t>
            </w:r>
          </w:p>
        </w:tc>
        <w:tc>
          <w:tcPr>
            <w:tcW w:w="1234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21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其他要求</w:t>
            </w:r>
          </w:p>
        </w:tc>
        <w:tc>
          <w:tcPr>
            <w:tcW w:w="1334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笔试面试比例</w:t>
            </w:r>
          </w:p>
        </w:tc>
        <w:tc>
          <w:tcPr>
            <w:tcW w:w="4050" w:type="dxa"/>
            <w:vAlign w:val="center"/>
          </w:tcPr>
          <w:p>
            <w:pPr>
              <w:pStyle w:val="6"/>
              <w:spacing w:line="560" w:lineRule="exact"/>
              <w:ind w:firstLine="320" w:firstLine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加分条件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最低服务年限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16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大田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社区</w:t>
            </w: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  <w:t>专职干部</w:t>
            </w:r>
          </w:p>
        </w:tc>
        <w:tc>
          <w:tcPr>
            <w:tcW w:w="984" w:type="dxa"/>
            <w:vAlign w:val="center"/>
          </w:tcPr>
          <w:p>
            <w:pPr>
              <w:pStyle w:val="6"/>
              <w:spacing w:line="560" w:lineRule="exact"/>
              <w:ind w:firstLine="280" w:firstLineChars="100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大专及以上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不限</w:t>
            </w:r>
          </w:p>
        </w:tc>
        <w:tc>
          <w:tcPr>
            <w:tcW w:w="123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18周岁以上，40周岁以下</w:t>
            </w:r>
          </w:p>
        </w:tc>
        <w:tc>
          <w:tcPr>
            <w:tcW w:w="21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户籍在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  <w:t>太龙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镇、父母或配偶户籍在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  <w:t>太龙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镇，或在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eastAsia="zh-CN"/>
              </w:rPr>
              <w:t>太龙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镇居住满一年及以上。</w:t>
            </w:r>
          </w:p>
        </w:tc>
        <w:tc>
          <w:tcPr>
            <w:tcW w:w="133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1：2</w:t>
            </w:r>
          </w:p>
        </w:tc>
        <w:tc>
          <w:tcPr>
            <w:tcW w:w="405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  <w:t>获得区级、市级、国家级表彰奖励的分别加2分、4分、6分；持有初级、中级、高级社会工作者职业资格证书的分别加2分、4分、6分。以上加分可累计计算（以获得的最高表彰奖励和资格证书为准），计入笔试成绩。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  <w:lang w:val="en-US" w:eastAsia="zh-CN"/>
              </w:rPr>
              <w:t>3年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560" w:lineRule="exact"/>
              <w:ind w:firstLine="560" w:firstLineChars="200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Cs w:val="32"/>
        </w:rPr>
      </w:pPr>
    </w:p>
    <w:p/>
    <w:sectPr>
      <w:pgSz w:w="16838" w:h="11906" w:orient="landscape"/>
      <w:pgMar w:top="1474" w:right="1361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DVkNzlmODRmMjJlMzAyZTAzYWJkOTBiM2IxNzcifQ=="/>
  </w:docVars>
  <w:rsids>
    <w:rsidRoot w:val="1A9D74E0"/>
    <w:rsid w:val="1A9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2024-03-01T04:47:00Z</dcterms:created>
  <dc:creator>hp</dc:creator>
  <cp:lastModifiedBy>hp</cp:lastModifiedBy>
  <dcterms:modified xsi:type="dcterms:W3CDTF">2024-03-01T04:48:06Z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ED997BB47FB945C7AC47103A35D7DDF4_11</vt:lpwstr>
  </property>
</Properties>
</file>