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在面试入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闱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截止时间，仍未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面试考点的面试人员，视为自动放弃，取消面试资格。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灯塔-滨州党建”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网络平台（</w:t>
      </w:r>
      <w:r>
        <w:rPr>
          <w:rFonts w:hint="eastAsia" w:ascii="Times New Roman" w:hAnsi="Times New Roman" w:eastAsia="仿宋_GB2312"/>
          <w:sz w:val="32"/>
          <w:szCs w:val="32"/>
        </w:rPr>
        <w:t>http://www.bzzzb.gov.cn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871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GZmODYzYjUxNTNmYjA4ZGEzYTBlZTQxZDE2MmIifQ=="/>
  </w:docVars>
  <w:rsids>
    <w:rsidRoot w:val="00000000"/>
    <w:rsid w:val="2EBE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轻狂～书生</cp:lastModifiedBy>
  <dcterms:modified xsi:type="dcterms:W3CDTF">2024-01-18T01:11:02Z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5736A6768CB044448637EDF22758971D_12</vt:lpwstr>
  </property>
</Properties>
</file>