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335"/>
        <w:gridCol w:w="1560"/>
        <w:gridCol w:w="1590"/>
        <w:gridCol w:w="720"/>
        <w:gridCol w:w="1628"/>
        <w:gridCol w:w="1233"/>
        <w:gridCol w:w="1083"/>
        <w:gridCol w:w="967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0" w:hRule="atLeast"/>
          <w:jc w:val="center"/>
        </w:trPr>
        <w:tc>
          <w:tcPr>
            <w:tcW w:w="12162" w:type="dxa"/>
            <w:gridSpan w:val="10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  <w:bdr w:val="none" w:color="auto" w:sz="0" w:space="0"/>
              </w:rPr>
              <w:t>2023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sz w:val="36"/>
                <w:szCs w:val="36"/>
                <w:bdr w:val="none" w:color="auto" w:sz="0" w:space="0"/>
              </w:rPr>
              <w:t>年渝北区招募“三支一扶”人员（调剂）总成绩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33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5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5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7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162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专业能力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测试成绩</w:t>
            </w:r>
          </w:p>
        </w:tc>
        <w:tc>
          <w:tcPr>
            <w:tcW w:w="1233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结构化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1083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总成绩</w:t>
            </w:r>
          </w:p>
        </w:tc>
        <w:tc>
          <w:tcPr>
            <w:tcW w:w="967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161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19"/>
                <w:szCs w:val="19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3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37012107401</w:t>
            </w:r>
          </w:p>
        </w:tc>
        <w:tc>
          <w:tcPr>
            <w:tcW w:w="15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农技服务机构</w:t>
            </w:r>
          </w:p>
        </w:tc>
        <w:tc>
          <w:tcPr>
            <w:tcW w:w="15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岗位3</w:t>
            </w:r>
          </w:p>
        </w:tc>
        <w:tc>
          <w:tcPr>
            <w:tcW w:w="7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135.8</w:t>
            </w:r>
          </w:p>
        </w:tc>
        <w:tc>
          <w:tcPr>
            <w:tcW w:w="162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1233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80.20</w:t>
            </w:r>
          </w:p>
        </w:tc>
        <w:tc>
          <w:tcPr>
            <w:tcW w:w="1083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72.82</w:t>
            </w:r>
          </w:p>
        </w:tc>
        <w:tc>
          <w:tcPr>
            <w:tcW w:w="967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1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3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37012201613</w:t>
            </w:r>
          </w:p>
        </w:tc>
        <w:tc>
          <w:tcPr>
            <w:tcW w:w="15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农技服务机构</w:t>
            </w:r>
          </w:p>
        </w:tc>
        <w:tc>
          <w:tcPr>
            <w:tcW w:w="15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岗位3</w:t>
            </w:r>
          </w:p>
        </w:tc>
        <w:tc>
          <w:tcPr>
            <w:tcW w:w="7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131.9</w:t>
            </w:r>
          </w:p>
        </w:tc>
        <w:tc>
          <w:tcPr>
            <w:tcW w:w="162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1233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79.80</w:t>
            </w:r>
          </w:p>
        </w:tc>
        <w:tc>
          <w:tcPr>
            <w:tcW w:w="1083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71.49</w:t>
            </w:r>
          </w:p>
        </w:tc>
        <w:tc>
          <w:tcPr>
            <w:tcW w:w="967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1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体检注意事项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应按规定到指定医院进行体检，其它医疗单位的检查结果一律无效。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体检者带上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本人身份证，严禁弄虚作假、冒名顶替；如隐瞒病史影响体检结果的，后果自负。有手术史者请带上相关手术记录。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体检表上贴近期二寸免冠照片一张。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体检当天需进行采血、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超等检查，请在受检前禁食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8-12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女性受检者月经期间请勿做妇科及尿液检查，待经期完毕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3-5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天后补检；怀孕或有可能已受孕者，事先告知医护人员，勿做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光检查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怀孕者需提供怀孕证明一并带到体检医院。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体检当日请穿着轻便服装和软底鞋，应避免穿戴有金属饰品及印花的衣物（包括连衣裙、连裤袜及胸罩），勿携带贵重饰品。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请配合医生认真检查所有项目，勿漏检。若自动放弃某一项检查项目，将会影响对您的录用。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如对体检结果有疑义，请按有关规定办理。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体检费用自费，以体检医院公布的体检费用为准。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体检表第二页由受检者本人填写（用黑色签字笔或钢笔），要求字迹清楚，无涂改，病史部分要如实、逐项填写，不能遗漏。 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体检完毕，请将指引单及体检表交至前台，等候离院通知方可离开医院。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6D505CEE"/>
    <w:rsid w:val="6D50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2023-08-07T02:49:00Z</dcterms:created>
  <dc:creator>染柒歌家的肥兔子</dc:creator>
  <cp:lastModifiedBy>染柒歌家的肥兔子</cp:lastModifiedBy>
  <dcterms:modified xsi:type="dcterms:W3CDTF">2023-08-07T02:50:51Z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2F010EB2F3E9471AB9BE7ECBE3E94941_11</vt:lpwstr>
  </property>
</Properties>
</file>