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8"/>
          <w:szCs w:val="28"/>
        </w:rPr>
      </w:pPr>
      <w:r>
        <w:rPr>
          <w:rFonts w:ascii="方正仿宋简体" w:hAnsi="方正仿宋简体" w:eastAsia="方正仿宋简体" w:cs="方正仿宋简体"/>
          <w:i w:val="0"/>
          <w:iCs w:val="0"/>
          <w:caps w:val="0"/>
          <w:color w:val="333333"/>
          <w:spacing w:val="0"/>
          <w:sz w:val="28"/>
          <w:szCs w:val="28"/>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6"/>
          <w:szCs w:val="36"/>
          <w:bdr w:val="none" w:color="auto" w:sz="0" w:space="0"/>
          <w:shd w:val="clear" w:fill="FFFFFF"/>
        </w:rPr>
        <w:t>2023年城区学校公开选聘工作人员加分表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24"/>
          <w:szCs w:val="24"/>
          <w:bdr w:val="none" w:color="auto" w:sz="0" w:space="0"/>
          <w:shd w:val="clear" w:fill="FFFFFF"/>
        </w:rPr>
        <w:t>工作单位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   姓名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   报考学校及岗位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p>
    <w:tbl>
      <w:tblPr>
        <w:tblW w:w="1006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813"/>
        <w:gridCol w:w="1550"/>
        <w:gridCol w:w="851"/>
        <w:gridCol w:w="1440"/>
        <w:gridCol w:w="1499"/>
        <w:gridCol w:w="2000"/>
        <w:gridCol w:w="417"/>
        <w:gridCol w:w="418"/>
        <w:gridCol w:w="107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318"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类别</w:t>
            </w:r>
          </w:p>
        </w:tc>
        <w:tc>
          <w:tcPr>
            <w:tcW w:w="153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加分项目</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分       值</w:t>
            </w:r>
          </w:p>
        </w:tc>
        <w:tc>
          <w:tcPr>
            <w:tcW w:w="1115"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评分依据</w:t>
            </w:r>
          </w:p>
        </w:tc>
        <w:tc>
          <w:tcPr>
            <w:tcW w:w="371"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自评分</w:t>
            </w:r>
          </w:p>
        </w:tc>
        <w:tc>
          <w:tcPr>
            <w:tcW w:w="279"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宋体" w:hAnsi="宋体" w:eastAsia="宋体" w:cs="宋体"/>
                <w:b/>
                <w:bCs/>
                <w:color w:val="333333"/>
                <w:sz w:val="21"/>
                <w:szCs w:val="21"/>
                <w:bdr w:val="none" w:color="auto" w:sz="0" w:space="0"/>
              </w:rPr>
              <w:t>实得分</w:t>
            </w:r>
          </w:p>
        </w:tc>
        <w:tc>
          <w:tcPr>
            <w:tcW w:w="1065"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签字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90"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县级 </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省（直辖市、自治区）级</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国家级</w:t>
            </w:r>
          </w:p>
        </w:tc>
        <w:tc>
          <w:tcPr>
            <w:tcW w:w="1115"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371"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279"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065"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38" w:hRule="atLeast"/>
        </w:trPr>
        <w:tc>
          <w:tcPr>
            <w:tcW w:w="318"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荣誉称号</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名师、学科带头人、特级教师、骨干校长       </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5</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6</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23"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骨干教师</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5</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85"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教学能手</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86"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优秀教师或优秀教育工作者</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62"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优秀班主任、辅导员、德育工作者</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128" w:hRule="atLeast"/>
        </w:trPr>
        <w:tc>
          <w:tcPr>
            <w:tcW w:w="318"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平</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学科教学竞赛（含说课）或教师基本功竞赛（综合）</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一等奖</w:t>
            </w:r>
            <w:r>
              <w:rPr>
                <w:color w:val="333333"/>
                <w:sz w:val="24"/>
                <w:szCs w:val="24"/>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二等奖</w:t>
            </w:r>
            <w:r>
              <w:rPr>
                <w:color w:val="333333"/>
                <w:sz w:val="24"/>
                <w:szCs w:val="24"/>
                <w:bdr w:val="none" w:color="auto" w:sz="0" w:space="0"/>
              </w:rPr>
              <w:t>0.5</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一等奖</w:t>
            </w:r>
            <w:r>
              <w:rPr>
                <w:color w:val="333333"/>
                <w:sz w:val="24"/>
                <w:szCs w:val="24"/>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 </w:t>
            </w:r>
            <w:r>
              <w:rPr>
                <w:rFonts w:hint="eastAsia" w:ascii="宋体" w:hAnsi="宋体" w:eastAsia="宋体" w:cs="宋体"/>
                <w:color w:val="333333"/>
                <w:sz w:val="24"/>
                <w:szCs w:val="24"/>
                <w:bdr w:val="none" w:color="auto" w:sz="0" w:space="0"/>
              </w:rPr>
              <w:t>二等奖</w:t>
            </w:r>
            <w:r>
              <w:rPr>
                <w:color w:val="333333"/>
                <w:sz w:val="24"/>
                <w:szCs w:val="24"/>
                <w:bdr w:val="none" w:color="auto" w:sz="0" w:space="0"/>
              </w:rPr>
              <w:t>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三等奖</w:t>
            </w:r>
            <w:r>
              <w:rPr>
                <w:color w:val="333333"/>
                <w:sz w:val="24"/>
                <w:szCs w:val="24"/>
                <w:bdr w:val="none" w:color="auto" w:sz="0" w:space="0"/>
              </w:rPr>
              <w:t>1</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一等奖</w:t>
            </w:r>
            <w:r>
              <w:rPr>
                <w:color w:val="333333"/>
                <w:sz w:val="24"/>
                <w:szCs w:val="24"/>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二等奖</w:t>
            </w:r>
            <w:r>
              <w:rPr>
                <w:color w:val="333333"/>
                <w:sz w:val="24"/>
                <w:szCs w:val="24"/>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三等奖</w:t>
            </w:r>
            <w:r>
              <w:rPr>
                <w:color w:val="333333"/>
                <w:sz w:val="24"/>
                <w:szCs w:val="24"/>
                <w:bdr w:val="none" w:color="auto" w:sz="0" w:space="0"/>
              </w:rPr>
              <w:t>2</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41"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结题课题</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0.5</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1</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2</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90" w:hRule="atLeast"/>
        </w:trPr>
        <w:tc>
          <w:tcPr>
            <w:tcW w:w="318"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任职  情况</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任班主任</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每期</w:t>
            </w:r>
            <w:r>
              <w:rPr>
                <w:color w:val="333333"/>
                <w:sz w:val="24"/>
                <w:szCs w:val="24"/>
                <w:bdr w:val="none" w:color="auto" w:sz="0" w:space="0"/>
              </w:rPr>
              <w:t>0.3</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任年级组长</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每期</w:t>
            </w:r>
            <w:r>
              <w:rPr>
                <w:color w:val="333333"/>
                <w:sz w:val="24"/>
                <w:szCs w:val="24"/>
                <w:bdr w:val="none" w:color="auto" w:sz="0" w:space="0"/>
              </w:rPr>
              <w:t>0.3</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任教研组长</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每期</w:t>
            </w:r>
            <w:r>
              <w:rPr>
                <w:color w:val="333333"/>
                <w:sz w:val="24"/>
                <w:szCs w:val="24"/>
                <w:bdr w:val="none" w:color="auto" w:sz="0" w:space="0"/>
              </w:rPr>
              <w:t>0.3</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06"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任中层及以上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领导干部</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每期</w:t>
            </w:r>
            <w:r>
              <w:rPr>
                <w:color w:val="333333"/>
                <w:sz w:val="24"/>
                <w:szCs w:val="24"/>
                <w:bdr w:val="none" w:color="auto" w:sz="0" w:space="0"/>
              </w:rPr>
              <w:t>0.5</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06" w:hRule="atLeast"/>
        </w:trPr>
        <w:tc>
          <w:tcPr>
            <w:tcW w:w="318"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24"/>
                <w:szCs w:val="24"/>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农村学校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工作经历</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在农村学校工作满</w:t>
            </w:r>
            <w:r>
              <w:rPr>
                <w:color w:val="333333"/>
                <w:sz w:val="24"/>
                <w:szCs w:val="24"/>
                <w:bdr w:val="none" w:color="auto" w:sz="0" w:space="0"/>
              </w:rPr>
              <w:t>10</w:t>
            </w:r>
            <w:r>
              <w:rPr>
                <w:rFonts w:hint="eastAsia" w:ascii="宋体" w:hAnsi="宋体" w:eastAsia="宋体" w:cs="宋体"/>
                <w:color w:val="333333"/>
                <w:sz w:val="24"/>
                <w:szCs w:val="24"/>
                <w:bdr w:val="none" w:color="auto" w:sz="0" w:space="0"/>
              </w:rPr>
              <w:t>年的加</w:t>
            </w:r>
            <w:r>
              <w:rPr>
                <w:color w:val="333333"/>
                <w:sz w:val="24"/>
                <w:szCs w:val="24"/>
                <w:bdr w:val="none" w:color="auto" w:sz="0" w:space="0"/>
              </w:rPr>
              <w:t>1</w:t>
            </w:r>
            <w:r>
              <w:rPr>
                <w:rFonts w:hint="eastAsia" w:ascii="宋体" w:hAnsi="宋体" w:eastAsia="宋体" w:cs="宋体"/>
                <w:color w:val="333333"/>
                <w:sz w:val="24"/>
                <w:szCs w:val="24"/>
                <w:bdr w:val="none" w:color="auto" w:sz="0" w:space="0"/>
              </w:rPr>
              <w:t>分，每增加</w:t>
            </w:r>
            <w:r>
              <w:rPr>
                <w:color w:val="333333"/>
                <w:sz w:val="24"/>
                <w:szCs w:val="24"/>
                <w:bdr w:val="none" w:color="auto" w:sz="0" w:space="0"/>
              </w:rPr>
              <w:t>1</w:t>
            </w:r>
            <w:r>
              <w:rPr>
                <w:rFonts w:hint="eastAsia" w:ascii="宋体" w:hAnsi="宋体" w:eastAsia="宋体" w:cs="宋体"/>
                <w:color w:val="333333"/>
                <w:sz w:val="24"/>
                <w:szCs w:val="24"/>
                <w:bdr w:val="none" w:color="auto" w:sz="0" w:space="0"/>
              </w:rPr>
              <w:t>年加</w:t>
            </w:r>
            <w:r>
              <w:rPr>
                <w:color w:val="333333"/>
                <w:sz w:val="24"/>
                <w:szCs w:val="24"/>
                <w:bdr w:val="none" w:color="auto" w:sz="0" w:space="0"/>
              </w:rPr>
              <w:t>0.2</w:t>
            </w:r>
            <w:r>
              <w:rPr>
                <w:rFonts w:hint="eastAsia" w:ascii="宋体" w:hAnsi="宋体" w:eastAsia="宋体" w:cs="宋体"/>
                <w:color w:val="333333"/>
                <w:sz w:val="24"/>
                <w:szCs w:val="24"/>
                <w:bdr w:val="none" w:color="auto" w:sz="0" w:space="0"/>
              </w:rPr>
              <w:t>分</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31" w:hRule="atLeast"/>
        </w:trPr>
        <w:tc>
          <w:tcPr>
            <w:tcW w:w="318"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年度  考核</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24"/>
                <w:szCs w:val="24"/>
                <w:bdr w:val="none" w:color="auto" w:sz="0" w:space="0"/>
              </w:rPr>
              <w:t>2021</w:t>
            </w:r>
            <w:r>
              <w:rPr>
                <w:rFonts w:hint="eastAsia" w:ascii="宋体" w:hAnsi="宋体" w:eastAsia="宋体" w:cs="宋体"/>
                <w:color w:val="333333"/>
                <w:sz w:val="24"/>
                <w:szCs w:val="24"/>
                <w:bdr w:val="none" w:color="auto" w:sz="0" w:space="0"/>
              </w:rPr>
              <w:t>、</w:t>
            </w:r>
            <w:r>
              <w:rPr>
                <w:color w:val="333333"/>
                <w:sz w:val="24"/>
                <w:szCs w:val="24"/>
                <w:bdr w:val="none" w:color="auto" w:sz="0" w:space="0"/>
              </w:rPr>
              <w:t>2022</w:t>
            </w:r>
            <w:r>
              <w:rPr>
                <w:rFonts w:hint="eastAsia" w:ascii="宋体" w:hAnsi="宋体" w:eastAsia="宋体" w:cs="宋体"/>
                <w:color w:val="333333"/>
                <w:sz w:val="24"/>
                <w:szCs w:val="24"/>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考核优秀</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24"/>
                <w:szCs w:val="24"/>
                <w:bdr w:val="none" w:color="auto" w:sz="0" w:space="0"/>
              </w:rPr>
              <w:t>每年加</w:t>
            </w:r>
            <w:r>
              <w:rPr>
                <w:color w:val="333333"/>
                <w:sz w:val="24"/>
                <w:szCs w:val="24"/>
                <w:bdr w:val="none" w:color="auto" w:sz="0" w:space="0"/>
              </w:rPr>
              <w:t>1</w:t>
            </w:r>
            <w:r>
              <w:rPr>
                <w:rFonts w:hint="eastAsia" w:ascii="宋体" w:hAnsi="宋体" w:eastAsia="宋体" w:cs="宋体"/>
                <w:color w:val="333333"/>
                <w:sz w:val="24"/>
                <w:szCs w:val="24"/>
                <w:bdr w:val="none" w:color="auto" w:sz="0" w:space="0"/>
              </w:rPr>
              <w:t>分</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31" w:hRule="atLeast"/>
        </w:trPr>
        <w:tc>
          <w:tcPr>
            <w:tcW w:w="318"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24"/>
                <w:szCs w:val="24"/>
                <w:bdr w:val="none" w:color="auto" w:sz="0" w:space="0"/>
              </w:rPr>
              <w:t>合计</w:t>
            </w:r>
          </w:p>
        </w:tc>
        <w:tc>
          <w:tcPr>
            <w:tcW w:w="6831" w:type="dxa"/>
            <w:gridSpan w:val="5"/>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c>
          <w:tcPr>
            <w:tcW w:w="106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b/>
          <w:bCs/>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b/>
          <w:bCs/>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b/>
          <w:bCs/>
          <w:i w:val="0"/>
          <w:iCs w:val="0"/>
          <w:caps w:val="0"/>
          <w:color w:val="333333"/>
          <w:spacing w:val="0"/>
          <w:sz w:val="30"/>
          <w:szCs w:val="30"/>
          <w:bdr w:val="none" w:color="auto" w:sz="0" w:space="0"/>
          <w:shd w:val="clear" w:fill="FFFFFF"/>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1.荣誉称号最高加分不超过6分（同一类荣誉称号只记一个一次加分），专业水平加分最高不超过4分（其中结题课题最高不超过2分）。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2.获得名师、学科带头人、特级教师、骨干校长，骨干教师，教学能手，优秀教师或优秀教育工作者，优秀班主任、辅导员、德育工作者荣誉称号的，以县级及以上党委、政府、教育主管部门的认定或表彰为准。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3.学科教学竞赛（含说课）或教师基本功竞赛（综合）以教育部（司、处）、中央教科所、省（直辖市、自治区）教科院、继续教育中心、县教师进修学校组织的评比为准。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4.课题以全国教育科学规划办、省（直辖市、自治区）教育科学规划办立项课题为准。获奖主研人员按相应等次加分，参研人员折半记分（子课题折半加分）。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5.任年级组长、教研组长和中层及以上领导干部加分项目在加分时限内选其一项进行加分。农村学校工作经历按实际年限加分。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6.有文件规定可享受加分照顾的，按相关文件规定加分。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7.除农村学校工作经历外的加分时限为2021年9月30日—2023年7月31日。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8.此表中“自评分”、“评分说明”等栏目由报考人员自己规范填写，所填信息必须准确无误，报名时必须交验相关证明材料。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rPr>
          <w:rFonts w:hint="eastAsia" w:ascii="微软雅黑" w:hAnsi="微软雅黑" w:eastAsia="微软雅黑" w:cs="微软雅黑"/>
          <w:i w:val="0"/>
          <w:iCs w:val="0"/>
          <w:caps w:val="0"/>
          <w:color w:val="333333"/>
          <w:spacing w:val="0"/>
          <w:sz w:val="24"/>
          <w:szCs w:val="24"/>
        </w:rPr>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9.所有加分项目就高不累计加分。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drawing>
          <wp:inline distT="0" distB="0" distL="114300" distR="114300">
            <wp:extent cx="962025" cy="1524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62025"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ODAyNzdhMDgxZjQzZmM5YWEwNTYzZjZiYTIwYzMifQ=="/>
  </w:docVars>
  <w:rsids>
    <w:rsidRoot w:val="07751CB1"/>
    <w:rsid w:val="0775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2023-07-13T03:57:00Z</dcterms:created>
  <dc:creator>asus</dc:creator>
  <cp:lastModifiedBy>asus</cp:lastModifiedBy>
  <dcterms:modified xsi:type="dcterms:W3CDTF">2023-07-13T03:57:35Z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E4DF01E677C04B71A4F064DFE48DAFA6_11</vt:lpwstr>
  </property>
</Properties>
</file>