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rPr>
          <w:rFonts w:ascii="方正黑体_GBK" w:hAnsi="方正仿宋_GBK" w:eastAsia="方正黑体_GBK" w:cs="方正仿宋_GBK"/>
          <w:sz w:val="28"/>
          <w:szCs w:val="28"/>
        </w:rPr>
      </w:pPr>
      <w:r>
        <w:rPr>
          <w:rFonts w:hint="eastAsia" w:ascii="方正黑体_GBK" w:hAnsi="方正仿宋_GBK" w:eastAsia="方正黑体_GBK" w:cs="方正仿宋_GBK"/>
          <w:sz w:val="32"/>
          <w:szCs w:val="32"/>
        </w:rPr>
        <w:t>附件3</w:t>
      </w:r>
    </w:p>
    <w:p>
      <w:pPr>
        <w:spacing w:line="600" w:lineRule="exact"/>
        <w:jc w:val="center"/>
        <w:rPr>
          <w:rFonts w:eastAsia="方正小标宋_GBK"/>
          <w:sz w:val="44"/>
          <w:szCs w:val="44"/>
        </w:rPr>
      </w:pPr>
    </w:p>
    <w:p>
      <w:pPr>
        <w:spacing w:line="600" w:lineRule="exact"/>
        <w:jc w:val="center"/>
        <w:rPr>
          <w:rFonts w:eastAsia="方正仿宋_GBK"/>
        </w:rPr>
      </w:pPr>
      <w:bookmarkStart w:id="0" w:name="_GoBack"/>
      <w:r>
        <w:rPr>
          <w:rFonts w:hint="eastAsia" w:eastAsia="方正小标宋_GBK"/>
          <w:sz w:val="44"/>
          <w:szCs w:val="44"/>
        </w:rPr>
        <w:t>重庆市考试录用公务员专业参考目录</w:t>
      </w:r>
      <w:bookmarkEnd w:id="0"/>
    </w:p>
    <w:tbl>
      <w:tblPr>
        <w:tblStyle w:val="5"/>
        <w:tblpPr w:leftFromText="180" w:rightFromText="180" w:vertAnchor="text" w:horzAnchor="margin" w:tblpXSpec="center" w:tblpY="304"/>
        <w:tblW w:w="12915" w:type="dxa"/>
        <w:tblInd w:w="0" w:type="dxa"/>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p>
            <w:pPr>
              <w:rPr>
                <w:rFonts w:eastAsia="方正仿宋_GBK"/>
                <w:sz w:val="18"/>
                <w:szCs w:val="18"/>
              </w:rPr>
            </w:pPr>
          </w:p>
          <w:p>
            <w:pPr>
              <w:rPr>
                <w:rFonts w:eastAsia="方正仿宋_GBK"/>
                <w:sz w:val="18"/>
                <w:szCs w:val="18"/>
              </w:rPr>
            </w:pP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369"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w:t>
            </w:r>
            <w:r>
              <w:rPr>
                <w:rFonts w:hint="eastAsia" w:eastAsia="方正仿宋_GBK"/>
                <w:bCs/>
                <w:kern w:val="0"/>
                <w:sz w:val="18"/>
                <w:szCs w:val="18"/>
              </w:rPr>
              <w:t>聘</w:t>
            </w:r>
            <w:r>
              <w:rPr>
                <w:rFonts w:eastAsia="方正仿宋_GBK"/>
                <w:bCs/>
                <w:kern w:val="0"/>
                <w:sz w:val="18"/>
                <w:szCs w:val="18"/>
              </w:rPr>
              <w:t>单位审核同意后予以认可。</w:t>
            </w:r>
          </w:p>
        </w:tc>
      </w:tr>
    </w:tbl>
    <w:p/>
    <w:p>
      <w:pPr>
        <w:pStyle w:val="2"/>
        <w:tabs>
          <w:tab w:val="left" w:pos="654"/>
        </w:tabs>
      </w:pPr>
    </w:p>
    <w:p/>
    <w:sectPr>
      <w:footerReference r:id="rId3" w:type="default"/>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23</w:t>
                          </w:r>
                          <w:r>
                            <w:fldChar w:fldCharType="end"/>
                          </w:r>
                          <w: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vaF5rSAAAABwEAAA8AAAAAAAAAAQAgAAAAIgAAAGRycy9kb3ducmV2&#10;LnhtbFBLAQIUABQAAAAIAIdO4kDdNuRXyQEAAJkDAAAOAAAAAAAAAAEAIAAAACEBAABkcnMvZTJv&#10;RG9jLnhtbFBLBQYAAAAABgAGAFkBAABc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ZDM1ZWJiOTJkN2YyYmYwZTdhNjE1ZDI1NmI0ODcifQ=="/>
  </w:docVars>
  <w:rsids>
    <w:rsidRoot w:val="73555D83"/>
    <w:rsid w:val="73555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eastAsia="仿宋_GB2312"/>
      <w:sz w:val="32"/>
    </w:rPr>
  </w:style>
  <w:style w:type="paragraph" w:styleId="3">
    <w:name w:val="index 7"/>
    <w:basedOn w:val="1"/>
    <w:next w:val="1"/>
    <w:qFormat/>
    <w:uiPriority w:val="0"/>
    <w:pPr>
      <w:ind w:left="252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2022-12-12T02:17:00Z</dcterms:created>
  <dc:creator>Administrator</dc:creator>
  <cp:lastModifiedBy>Administrator</cp:lastModifiedBy>
  <dcterms:modified xsi:type="dcterms:W3CDTF">2022-12-12T02:18:34Z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8E44124B21F345DBBA3FCE684DC6AEAF</vt:lpwstr>
  </property>
</Properties>
</file>