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2</w:t>
      </w:r>
    </w:p>
    <w:p>
      <w:pPr>
        <w:keepNext w:val="0"/>
        <w:keepLines w:val="0"/>
        <w:pageBreakBefore w:val="0"/>
        <w:widowControl/>
        <w:tabs>
          <w:tab w:val="left" w:pos="1680"/>
        </w:tabs>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w:t>
      </w:r>
      <w:r>
        <w:rPr>
          <w:rFonts w:hint="eastAsia" w:ascii="Times New Roman" w:hAnsi="Times New Roman" w:eastAsia="方正小标宋简体" w:cs="Times New Roman"/>
          <w:sz w:val="44"/>
          <w:szCs w:val="44"/>
          <w:lang w:eastAsia="zh-CN"/>
        </w:rPr>
        <w:t>玉林</w:t>
      </w:r>
      <w:r>
        <w:rPr>
          <w:rFonts w:hint="default" w:ascii="Times New Roman" w:hAnsi="Times New Roman" w:eastAsia="方正小标宋简体" w:cs="Times New Roman"/>
          <w:sz w:val="44"/>
          <w:szCs w:val="44"/>
        </w:rPr>
        <w:t>市</w:t>
      </w:r>
      <w:r>
        <w:rPr>
          <w:rFonts w:hint="eastAsia" w:ascii="Times New Roman" w:hAnsi="Times New Roman" w:eastAsia="方正小标宋简体" w:cs="Times New Roman"/>
          <w:sz w:val="44"/>
          <w:szCs w:val="44"/>
          <w:lang w:eastAsia="zh-CN"/>
        </w:rPr>
        <w:t>福绵区</w:t>
      </w:r>
      <w:r>
        <w:rPr>
          <w:rFonts w:hint="default" w:ascii="Times New Roman" w:hAnsi="Times New Roman" w:eastAsia="方正小标宋简体" w:cs="Times New Roman"/>
          <w:sz w:val="44"/>
          <w:szCs w:val="44"/>
        </w:rPr>
        <w:t>事业单位公开招聘工作人员</w:t>
      </w:r>
      <w:bookmarkStart w:id="0" w:name="_GoBack"/>
      <w:bookmarkEnd w:id="0"/>
      <w:r>
        <w:rPr>
          <w:rFonts w:hint="default" w:ascii="Times New Roman" w:hAnsi="Times New Roman" w:eastAsia="方正小标宋简体" w:cs="Times New Roman"/>
          <w:sz w:val="44"/>
          <w:szCs w:val="44"/>
        </w:rPr>
        <w:t>面试</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4"/>
        <w:spacing w:before="0" w:beforeAutospacing="0" w:after="0" w:afterAutospacing="0"/>
        <w:rPr>
          <w:rFonts w:hint="default" w:ascii="Times New Roman" w:hAnsi="Times New Roman" w:cs="Times New Roman"/>
          <w:sz w:val="32"/>
          <w:szCs w:val="32"/>
        </w:rPr>
      </w:pPr>
    </w:p>
    <w:p>
      <w:pPr>
        <w:ind w:firstLine="640" w:firstLineChars="200"/>
        <w:rPr>
          <w:rFonts w:hint="default"/>
          <w:color w:val="auto"/>
        </w:rPr>
      </w:pPr>
      <w:r>
        <w:rPr>
          <w:rFonts w:hint="eastAsia" w:ascii="仿宋_GB2312" w:hAnsi="仿宋_GB2312" w:eastAsia="仿宋_GB2312" w:cs="仿宋_GB2312"/>
          <w:i w:val="0"/>
          <w:iCs w:val="0"/>
          <w:caps w:val="0"/>
          <w:color w:val="auto"/>
          <w:spacing w:val="0"/>
          <w:sz w:val="32"/>
          <w:szCs w:val="32"/>
          <w:highlight w:val="none"/>
          <w:shd w:val="clear" w:fill="FFFFFF"/>
        </w:rPr>
        <w:t>根据自治区和</w:t>
      </w:r>
      <w:r>
        <w:rPr>
          <w:rFonts w:hint="eastAsia" w:ascii="仿宋_GB2312" w:hAnsi="仿宋_GB2312" w:eastAsia="仿宋_GB2312" w:cs="仿宋_GB2312"/>
          <w:i w:val="0"/>
          <w:iCs w:val="0"/>
          <w:caps w:val="0"/>
          <w:color w:val="auto"/>
          <w:spacing w:val="0"/>
          <w:sz w:val="32"/>
          <w:szCs w:val="32"/>
          <w:highlight w:val="none"/>
          <w:shd w:val="clear" w:fill="FFFFFF"/>
          <w:lang w:eastAsia="zh-CN"/>
        </w:rPr>
        <w:t>玉林市</w:t>
      </w:r>
      <w:r>
        <w:rPr>
          <w:rFonts w:hint="eastAsia" w:ascii="仿宋_GB2312" w:hAnsi="仿宋_GB2312" w:eastAsia="仿宋_GB2312" w:cs="仿宋_GB2312"/>
          <w:i w:val="0"/>
          <w:iCs w:val="0"/>
          <w:caps w:val="0"/>
          <w:color w:val="auto"/>
          <w:spacing w:val="0"/>
          <w:sz w:val="32"/>
          <w:szCs w:val="32"/>
          <w:highlight w:val="none"/>
          <w:shd w:val="clear" w:fill="FFFFFF"/>
        </w:rPr>
        <w:t>新冠肺炎疫情防控相关规定和要求，</w:t>
      </w:r>
      <w:r>
        <w:rPr>
          <w:rFonts w:hint="eastAsia" w:ascii="仿宋_GB2312" w:hAnsi="仿宋_GB2312" w:eastAsia="仿宋_GB2312" w:cs="仿宋_GB2312"/>
          <w:i w:val="0"/>
          <w:iCs w:val="0"/>
          <w:caps w:val="0"/>
          <w:color w:val="auto"/>
          <w:spacing w:val="0"/>
          <w:sz w:val="32"/>
          <w:szCs w:val="32"/>
          <w:highlight w:val="none"/>
          <w:shd w:val="clear" w:fill="FFFFFF"/>
          <w:lang w:eastAsia="zh-CN"/>
        </w:rPr>
        <w:t>为全力</w:t>
      </w:r>
      <w:r>
        <w:rPr>
          <w:rFonts w:hint="eastAsia" w:ascii="仿宋_GB2312" w:hAnsi="仿宋_GB2312" w:eastAsia="仿宋_GB2312" w:cs="仿宋_GB2312"/>
          <w:i w:val="0"/>
          <w:iCs w:val="0"/>
          <w:caps w:val="0"/>
          <w:color w:val="auto"/>
          <w:spacing w:val="0"/>
          <w:sz w:val="32"/>
          <w:szCs w:val="32"/>
          <w:highlight w:val="none"/>
          <w:shd w:val="clear" w:fill="FFFFFF"/>
        </w:rPr>
        <w:t>保障广大考生和考务工作人员生命安全和身体健康，确保</w:t>
      </w:r>
      <w:r>
        <w:rPr>
          <w:rFonts w:hint="eastAsia" w:ascii="仿宋_GB2312" w:hAnsi="仿宋_GB2312" w:eastAsia="仿宋_GB2312" w:cs="仿宋_GB2312"/>
          <w:i w:val="0"/>
          <w:iCs w:val="0"/>
          <w:caps w:val="0"/>
          <w:color w:val="auto"/>
          <w:spacing w:val="0"/>
          <w:sz w:val="32"/>
          <w:szCs w:val="32"/>
          <w:highlight w:val="none"/>
          <w:shd w:val="clear" w:fill="FFFFFF"/>
          <w:lang w:eastAsia="zh-CN"/>
        </w:rPr>
        <w:t>本次</w:t>
      </w:r>
      <w:r>
        <w:rPr>
          <w:rFonts w:hint="eastAsia" w:ascii="仿宋_GB2312" w:hAnsi="仿宋_GB2312" w:eastAsia="仿宋_GB2312" w:cs="仿宋_GB2312"/>
          <w:i w:val="0"/>
          <w:iCs w:val="0"/>
          <w:caps w:val="0"/>
          <w:color w:val="auto"/>
          <w:spacing w:val="0"/>
          <w:sz w:val="32"/>
          <w:szCs w:val="32"/>
          <w:highlight w:val="none"/>
          <w:shd w:val="clear" w:fill="FFFFFF"/>
        </w:rPr>
        <w:t>面试</w:t>
      </w:r>
      <w:r>
        <w:rPr>
          <w:rFonts w:hint="eastAsia" w:ascii="仿宋_GB2312" w:hAnsi="仿宋_GB2312" w:eastAsia="仿宋_GB2312" w:cs="仿宋_GB2312"/>
          <w:i w:val="0"/>
          <w:iCs w:val="0"/>
          <w:caps w:val="0"/>
          <w:color w:val="auto"/>
          <w:spacing w:val="0"/>
          <w:sz w:val="32"/>
          <w:szCs w:val="32"/>
          <w:highlight w:val="none"/>
          <w:shd w:val="clear" w:fill="FFFFFF"/>
          <w:lang w:eastAsia="zh-CN"/>
        </w:rPr>
        <w:t>安全</w:t>
      </w:r>
      <w:r>
        <w:rPr>
          <w:rFonts w:hint="eastAsia" w:ascii="仿宋_GB2312" w:hAnsi="仿宋_GB2312" w:eastAsia="仿宋_GB2312" w:cs="仿宋_GB2312"/>
          <w:i w:val="0"/>
          <w:iCs w:val="0"/>
          <w:caps w:val="0"/>
          <w:color w:val="auto"/>
          <w:spacing w:val="0"/>
          <w:sz w:val="32"/>
          <w:szCs w:val="32"/>
          <w:highlight w:val="none"/>
          <w:shd w:val="clear" w:fill="FFFFFF"/>
        </w:rPr>
        <w:t>进行，现将考生参加面试的疫情防控要求</w:t>
      </w:r>
      <w:r>
        <w:rPr>
          <w:rFonts w:hint="eastAsia" w:ascii="仿宋_GB2312" w:hAnsi="仿宋_GB2312" w:eastAsia="仿宋_GB2312" w:cs="仿宋_GB2312"/>
          <w:i w:val="0"/>
          <w:iCs w:val="0"/>
          <w:caps w:val="0"/>
          <w:color w:val="auto"/>
          <w:spacing w:val="0"/>
          <w:sz w:val="32"/>
          <w:szCs w:val="32"/>
          <w:highlight w:val="none"/>
          <w:shd w:val="clear" w:fill="FFFFFF"/>
          <w:lang w:eastAsia="zh-CN"/>
        </w:rPr>
        <w:t>告知</w:t>
      </w:r>
      <w:r>
        <w:rPr>
          <w:rFonts w:hint="eastAsia" w:ascii="仿宋_GB2312" w:hAnsi="仿宋_GB2312" w:eastAsia="仿宋_GB2312" w:cs="仿宋_GB2312"/>
          <w:i w:val="0"/>
          <w:iCs w:val="0"/>
          <w:caps w:val="0"/>
          <w:color w:val="auto"/>
          <w:spacing w:val="0"/>
          <w:sz w:val="32"/>
          <w:szCs w:val="32"/>
          <w:highlight w:val="none"/>
          <w:shd w:val="clear" w:fill="FFFFFF"/>
        </w:rPr>
        <w:t>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面试前疫情防控要求</w:t>
      </w:r>
    </w:p>
    <w:p>
      <w:pPr>
        <w:numPr>
          <w:ilvl w:val="0"/>
          <w:numId w:val="1"/>
        </w:numPr>
        <w:ind w:firstLine="640" w:firstLineChars="200"/>
        <w:rPr>
          <w:rFonts w:hint="default" w:ascii="Times New Roman" w:hAnsi="Times New Roman" w:eastAsia="仿宋_GB2312" w:cs="Times New Roman"/>
          <w:spacing w:val="-2"/>
          <w:sz w:val="32"/>
          <w:szCs w:val="32"/>
          <w:shd w:val="clear" w:color="auto" w:fill="FFFFFF"/>
        </w:rPr>
      </w:pP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天，考生应通过“智桂通”微信小程序或“爱广西”手机APP实名申领“广西健康码”，并及时更新“广西健康码”和“通信大数据行程卡”状态。</w:t>
      </w:r>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跨省份、跨设区市参加面试的考生须遵守</w:t>
      </w:r>
      <w:r>
        <w:rPr>
          <w:rFonts w:hint="eastAsia" w:ascii="仿宋_GB2312" w:hAnsi="仿宋_GB2312" w:eastAsia="仿宋_GB2312" w:cs="仿宋_GB2312"/>
          <w:b/>
          <w:bCs/>
          <w:sz w:val="32"/>
          <w:szCs w:val="32"/>
          <w:lang w:eastAsia="zh-CN"/>
        </w:rPr>
        <w:t>我</w:t>
      </w:r>
      <w:r>
        <w:rPr>
          <w:rFonts w:hint="eastAsia" w:ascii="仿宋_GB2312" w:hAnsi="仿宋_GB2312" w:eastAsia="仿宋_GB2312" w:cs="仿宋_GB2312"/>
          <w:b/>
          <w:bCs/>
          <w:sz w:val="32"/>
          <w:szCs w:val="32"/>
        </w:rPr>
        <w:t>市疫情防控要求，并按要求报备</w:t>
      </w:r>
      <w:r>
        <w:rPr>
          <w:rFonts w:hint="eastAsia" w:ascii="仿宋_GB2312" w:hAnsi="仿宋_GB2312" w:eastAsia="仿宋_GB2312" w:cs="仿宋_GB2312"/>
          <w:b/>
          <w:bCs/>
          <w:sz w:val="32"/>
          <w:szCs w:val="32"/>
          <w:lang w:eastAsia="zh-CN"/>
        </w:rPr>
        <w:t>和进行核酸检测</w:t>
      </w:r>
      <w:r>
        <w:rPr>
          <w:rFonts w:hint="eastAsia" w:ascii="仿宋_GB2312" w:hAnsi="仿宋_GB2312" w:eastAsia="仿宋_GB2312" w:cs="仿宋_GB2312"/>
          <w:b/>
          <w:bCs/>
          <w:sz w:val="32"/>
          <w:szCs w:val="32"/>
        </w:rPr>
        <w:t>。</w:t>
      </w:r>
    </w:p>
    <w:p>
      <w:pPr>
        <w:numPr>
          <w:ilvl w:val="0"/>
          <w:numId w:val="1"/>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7天</w:t>
      </w:r>
      <w:r>
        <w:rPr>
          <w:rFonts w:hint="eastAsia" w:ascii="仿宋_GB2312" w:hAnsi="仿宋_GB2312" w:eastAsia="仿宋_GB2312" w:cs="仿宋_GB2312"/>
          <w:sz w:val="32"/>
          <w:szCs w:val="32"/>
        </w:rPr>
        <w:t>，考生应避免前往国（境）外、国内疫情中高风险地区、中高风险地区所在县（市、区）或直辖市街道（镇）、有本土疫情的县（市、区）或直辖市街道（镇）旅行居住；避免与新冠肺炎确诊病例、疑似病例、无症状感染者及国内疫情中高风险地区人员或近期国（境）外人员接触；避免去人员流动性较大、人员密集的场所聚集</w:t>
      </w:r>
      <w:r>
        <w:rPr>
          <w:rFonts w:hint="eastAsia" w:ascii="仿宋_GB2312" w:hAnsi="仿宋_GB2312" w:eastAsia="仿宋_GB2312" w:cs="仿宋_GB2312"/>
          <w:sz w:val="32"/>
          <w:szCs w:val="32"/>
          <w:lang w:eastAsia="zh-CN"/>
        </w:rPr>
        <w:t>。</w:t>
      </w:r>
    </w:p>
    <w:p>
      <w:pPr>
        <w:numPr>
          <w:ilvl w:val="0"/>
          <w:numId w:val="0"/>
        </w:numPr>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（三）有本土疫情</w:t>
      </w:r>
      <w:r>
        <w:rPr>
          <w:rFonts w:hint="eastAsia" w:ascii="仿宋_GB2312" w:hAnsi="仿宋_GB2312" w:eastAsia="仿宋_GB2312" w:cs="仿宋_GB2312"/>
          <w:sz w:val="32"/>
          <w:szCs w:val="32"/>
          <w:lang w:eastAsia="zh-CN"/>
        </w:rPr>
        <w:t>所在</w:t>
      </w:r>
      <w:r>
        <w:rPr>
          <w:rFonts w:hint="default" w:ascii="仿宋_GB2312" w:hAnsi="仿宋_GB2312" w:eastAsia="仿宋_GB2312" w:cs="仿宋_GB2312"/>
          <w:sz w:val="32"/>
          <w:szCs w:val="32"/>
        </w:rPr>
        <w:t>县(市、区)7天内旅居史的人员须提前48小时向目的地社区(村、屯)报备,在抵达后12小时内向目的地社区(村、屯)报告,根据风险等级按照国家和自治区疫情防控要求接受当地社区的有关健康管理。</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面试</w:t>
      </w:r>
      <w:r>
        <w:rPr>
          <w:rFonts w:hint="eastAsia" w:ascii="黑体" w:hAnsi="黑体" w:eastAsia="黑体" w:cs="黑体"/>
          <w:sz w:val="32"/>
          <w:szCs w:val="32"/>
          <w:lang w:eastAsia="zh-CN"/>
        </w:rPr>
        <w:t>疫情防控要求</w:t>
      </w:r>
    </w:p>
    <w:p>
      <w:pPr>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shd w:val="clear" w:color="auto" w:fill="FFFFFF"/>
          <w:lang w:eastAsia="zh-CN"/>
        </w:rPr>
        <w:t>（一）</w:t>
      </w:r>
      <w:r>
        <w:rPr>
          <w:rFonts w:hint="default" w:ascii="Times New Roman" w:hAnsi="Times New Roman" w:eastAsia="仿宋_GB2312" w:cs="Times New Roman"/>
          <w:sz w:val="32"/>
          <w:szCs w:val="32"/>
          <w:shd w:val="clear" w:color="auto" w:fill="FFFFFF"/>
        </w:rPr>
        <w:t>面试当天，考生须提前</w:t>
      </w:r>
      <w:r>
        <w:rPr>
          <w:rFonts w:hint="default" w:ascii="Times New Roman" w:hAnsi="Times New Roman" w:eastAsia="仿宋_GB2312" w:cs="Times New Roman"/>
          <w:color w:val="FF0000"/>
          <w:sz w:val="32"/>
          <w:szCs w:val="32"/>
          <w:shd w:val="clear" w:color="auto" w:fill="FFFFFF"/>
        </w:rPr>
        <w:t>40</w:t>
      </w:r>
      <w:r>
        <w:rPr>
          <w:rFonts w:hint="default" w:ascii="Times New Roman" w:hAnsi="Times New Roman" w:eastAsia="仿宋_GB2312" w:cs="Times New Roman"/>
          <w:sz w:val="32"/>
          <w:szCs w:val="32"/>
          <w:shd w:val="clear" w:color="auto" w:fill="FFFFFF"/>
        </w:rPr>
        <w:t>分钟到达考点，避免聚集，按照考点指引配合做好入场核查工作。</w:t>
      </w:r>
      <w:r>
        <w:rPr>
          <w:rFonts w:hint="eastAsia" w:ascii="仿宋_GB2312" w:hAnsi="仿宋_GB2312" w:eastAsia="仿宋_GB2312" w:cs="仿宋_GB2312"/>
          <w:sz w:val="32"/>
          <w:szCs w:val="32"/>
        </w:rPr>
        <w:t>考生要同时符合考前48小时新冠病毒核酸检测结果为阴性、“广西健康码”为绿码、“通信大数据行程卡”为绿码、现场测量体温正常（＜37.3℃）等防疫要求，方可进入考场参加面试。</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面试前7天内解除集中隔离、居家隔离</w:t>
      </w:r>
      <w:r>
        <w:rPr>
          <w:rFonts w:hint="default" w:ascii="Times New Roman" w:hAnsi="Times New Roman" w:eastAsia="仿宋_GB2312" w:cs="Times New Roman"/>
          <w:sz w:val="32"/>
          <w:szCs w:val="32"/>
          <w:shd w:val="clear" w:color="auto" w:fill="FFFFFF"/>
          <w:lang w:eastAsia="zh-CN"/>
        </w:rPr>
        <w:t>医学观察和居家健康监测</w:t>
      </w:r>
      <w:r>
        <w:rPr>
          <w:rFonts w:hint="default" w:ascii="Times New Roman" w:hAnsi="Times New Roman" w:eastAsia="仿宋_GB2312" w:cs="Times New Roman"/>
          <w:sz w:val="32"/>
          <w:szCs w:val="32"/>
          <w:shd w:val="clear" w:color="auto" w:fill="FFFFFF"/>
        </w:rPr>
        <w:t>的考生，面试当天入场时还须提供社区、隔离场所等出具的解除隔离纸质证明。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考生有以下情况之一的，不得参加考试</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考生进入考点时，“广西健康码”非绿码或“通信大数据行程卡”非绿码或现场测量体温≥37.3℃或不能按要求提供新冠病毒核酸检测阴性报告的考生。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新冠肺炎确诊病例、疑似病例和无症状感染者的密接、次密接以及时空伴随者，且尚未完成隔离医学观察等健康管理的考生。</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考前</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天内有</w:t>
      </w:r>
      <w:r>
        <w:rPr>
          <w:rFonts w:hint="eastAsia" w:ascii="仿宋_GB2312" w:hAnsi="仿宋_GB2312" w:eastAsia="仿宋_GB2312" w:cs="仿宋_GB2312"/>
          <w:color w:val="auto"/>
          <w:sz w:val="32"/>
          <w:szCs w:val="32"/>
          <w:lang w:eastAsia="zh-CN"/>
        </w:rPr>
        <w:t>高、中、低</w:t>
      </w:r>
      <w:r>
        <w:rPr>
          <w:rFonts w:hint="eastAsia" w:ascii="仿宋_GB2312" w:hAnsi="仿宋_GB2312" w:eastAsia="仿宋_GB2312" w:cs="仿宋_GB2312"/>
          <w:color w:val="auto"/>
          <w:sz w:val="32"/>
          <w:szCs w:val="32"/>
        </w:rPr>
        <w:t>风险地区旅居史、中高风险地区所在县（市、区）或直辖市街道（镇）旅居史、本土疫情发生地所在县（市、区）或直辖市街道（镇）旅居史，且尚未完成隔离医学观察等健康管理的考生</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从北海返玉来玉未完成三天两检（第</w:t>
      </w:r>
      <w:r>
        <w:rPr>
          <w:rFonts w:hint="eastAsia" w:ascii="仿宋_GB2312" w:hAnsi="仿宋_GB2312" w:eastAsia="仿宋_GB2312" w:cs="仿宋_GB2312"/>
          <w:color w:val="auto"/>
          <w:sz w:val="32"/>
          <w:szCs w:val="32"/>
          <w:lang w:val="en-US" w:eastAsia="zh-CN"/>
        </w:rPr>
        <w:t>1、3天</w:t>
      </w:r>
      <w:r>
        <w:rPr>
          <w:rFonts w:hint="eastAsia" w:ascii="仿宋_GB2312" w:hAnsi="仿宋_GB2312" w:eastAsia="仿宋_GB2312" w:cs="仿宋_GB2312"/>
          <w:color w:val="auto"/>
          <w:sz w:val="32"/>
          <w:szCs w:val="32"/>
          <w:lang w:eastAsia="zh-CN"/>
        </w:rPr>
        <w:t>各进行一次）健康管理的考生不得参加</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4.现场医疗卫生专业人员综合研判不具备考试条件的考生。</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三）考生参加考试时应自备一次性医用口罩或医用外科口罩，除核验身份时、进入面试室进行面试时按要求摘除口罩外，应全程佩戴口罩。考生在面试过程中（从已进入候考室等候面试算起）出现发热、咳嗽、乏力、鼻塞、流涕、咽痛、腹泻等症状，应立即向考务工作人员报告，并如实报告近</w:t>
      </w:r>
      <w:r>
        <w:rPr>
          <w:rFonts w:hint="eastAsia" w:ascii="Times New Roman" w:hAnsi="Times New Roman" w:eastAsia="仿宋_GB2312" w:cs="Times New Roman"/>
          <w:sz w:val="32"/>
          <w:szCs w:val="32"/>
          <w:shd w:val="clear" w:color="auto" w:fill="FFFFFF"/>
          <w:lang w:val="en-US" w:eastAsia="zh-CN"/>
        </w:rPr>
        <w:t>7</w:t>
      </w:r>
      <w:r>
        <w:rPr>
          <w:rFonts w:hint="eastAsia" w:ascii="Times New Roman" w:hAnsi="Times New Roman" w:eastAsia="仿宋_GB2312" w:cs="Times New Roman"/>
          <w:sz w:val="32"/>
          <w:szCs w:val="32"/>
          <w:shd w:val="clear" w:color="auto" w:fill="FFFFFF"/>
          <w:lang w:eastAsia="zh-CN"/>
        </w:rPr>
        <w:t>天的旅居史、接触史及健康状况等疫情防控信息，经现场医疗卫生专业人员评估后，综合研判具备参加面试条件的，作出书面承诺后，由专人负责带至隔离考场进行面试。</w:t>
      </w:r>
    </w:p>
    <w:p>
      <w:pPr>
        <w:ind w:firstLine="640" w:firstLineChars="200"/>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（四）考生有不配合面试防疫工作、不如实报告健康状况、隐瞒或谎报旅居史、接触史、健康状况等疫情防控信息，提供虚假防疫证明材料（信息）等情形的，按有关法律法规进行严肃处理。</w:t>
      </w:r>
    </w:p>
    <w:p>
      <w:pPr>
        <w:ind w:firstLine="640" w:firstLineChars="200"/>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三、重要提醒事项</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（一）请考生认真阅读上述通告内容，特别注意对于核酸检测、隔离观察等须要提前进行准备的要求，须详细知悉并按时按要求完成，以免耽误个人应试。</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二）近期国内疫情多发散发，防控形势严峻复杂，根据防控形势和要求的变化，本公告发布后可能需要按照上级要求对本次面试相关工作进行变更和调整，相关动态信息将第一时间在玉林市人力资源和社会保障局官网发布，请考生务必密切关注关于本次面试的动态信息，并保持手机畅通。因本人原因错过重要信息的，责任由考生承担。</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三）本次面试考生市内外交通、新冠病毒核酸检测、隔离食宿等相关费用由考生自理。因新冠疫情影响和疫情防控工作需要，本次面试可能出现延误、取消等不能按时开考的情形，由此产生的食宿、交通等相关费用由考生自理。</w:t>
      </w:r>
    </w:p>
    <w:p>
      <w:pPr>
        <w:ind w:firstLine="640" w:firstLineChars="200"/>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val="en-US" w:eastAsia="zh-CN"/>
        </w:rPr>
        <w:t>如考生需了解当地疫情防控相关政策，可拨打24小时值班电话咨询：0775-2665641。</w:t>
      </w: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A1A16"/>
    <w:multiLevelType w:val="singleLevel"/>
    <w:tmpl w:val="541A1A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MTQxYTg5MDk4MjRhYzRlNjliMjg5MGI4MTA2MzE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C7F4E3F"/>
    <w:rsid w:val="0F9A5AB4"/>
    <w:rsid w:val="10F3606E"/>
    <w:rsid w:val="118440E5"/>
    <w:rsid w:val="119D19C1"/>
    <w:rsid w:val="121774E3"/>
    <w:rsid w:val="14313EE6"/>
    <w:rsid w:val="14CB4671"/>
    <w:rsid w:val="19974DC9"/>
    <w:rsid w:val="1AAE59BF"/>
    <w:rsid w:val="1DA8099D"/>
    <w:rsid w:val="1E234E52"/>
    <w:rsid w:val="1EE85A59"/>
    <w:rsid w:val="1F6768EF"/>
    <w:rsid w:val="20A94284"/>
    <w:rsid w:val="20C03A0C"/>
    <w:rsid w:val="22F63C23"/>
    <w:rsid w:val="24C26825"/>
    <w:rsid w:val="24C87982"/>
    <w:rsid w:val="28C12D9D"/>
    <w:rsid w:val="28F4182A"/>
    <w:rsid w:val="2AA6224F"/>
    <w:rsid w:val="2C493371"/>
    <w:rsid w:val="30B070AD"/>
    <w:rsid w:val="317E3AF0"/>
    <w:rsid w:val="344D0F30"/>
    <w:rsid w:val="34B27C28"/>
    <w:rsid w:val="3543393F"/>
    <w:rsid w:val="38447685"/>
    <w:rsid w:val="38CF41CA"/>
    <w:rsid w:val="392E41BC"/>
    <w:rsid w:val="3B8D19FD"/>
    <w:rsid w:val="3E136C4D"/>
    <w:rsid w:val="43B958AD"/>
    <w:rsid w:val="46BB55B7"/>
    <w:rsid w:val="49C13E5F"/>
    <w:rsid w:val="49F95AF8"/>
    <w:rsid w:val="4AD04B90"/>
    <w:rsid w:val="4B24056B"/>
    <w:rsid w:val="4B7C0CEF"/>
    <w:rsid w:val="4EA56E6D"/>
    <w:rsid w:val="4F767C62"/>
    <w:rsid w:val="50D17BA4"/>
    <w:rsid w:val="517A221B"/>
    <w:rsid w:val="5221680B"/>
    <w:rsid w:val="52F27626"/>
    <w:rsid w:val="53CD41EE"/>
    <w:rsid w:val="55BD367A"/>
    <w:rsid w:val="58447E22"/>
    <w:rsid w:val="5A851123"/>
    <w:rsid w:val="5B335B16"/>
    <w:rsid w:val="5C2D3F3F"/>
    <w:rsid w:val="5D924C91"/>
    <w:rsid w:val="5E5D3861"/>
    <w:rsid w:val="5E873E9A"/>
    <w:rsid w:val="5EF9714B"/>
    <w:rsid w:val="5FA32016"/>
    <w:rsid w:val="5FCF4106"/>
    <w:rsid w:val="60B44CEE"/>
    <w:rsid w:val="65E66488"/>
    <w:rsid w:val="66727993"/>
    <w:rsid w:val="66891114"/>
    <w:rsid w:val="673C29EE"/>
    <w:rsid w:val="6A4862A2"/>
    <w:rsid w:val="6A786587"/>
    <w:rsid w:val="6C3B01C3"/>
    <w:rsid w:val="6CDD288E"/>
    <w:rsid w:val="6D4018C2"/>
    <w:rsid w:val="6DA72011"/>
    <w:rsid w:val="6E165287"/>
    <w:rsid w:val="6EF015E7"/>
    <w:rsid w:val="6F2C56E7"/>
    <w:rsid w:val="70E94974"/>
    <w:rsid w:val="71323BA2"/>
    <w:rsid w:val="78A25347"/>
    <w:rsid w:val="78D02DFD"/>
    <w:rsid w:val="78F16E5A"/>
    <w:rsid w:val="79431FF0"/>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4">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5">
    <w:name w:val="Normal Indent"/>
    <w:basedOn w:val="1"/>
    <w:qFormat/>
    <w:uiPriority w:val="99"/>
    <w:pPr>
      <w:ind w:firstLine="420" w:firstLineChars="200"/>
    </w:pPr>
  </w:style>
  <w:style w:type="paragraph" w:styleId="6">
    <w:name w:val="annotation text"/>
    <w:basedOn w:val="1"/>
    <w:qFormat/>
    <w:uiPriority w:val="0"/>
  </w:style>
  <w:style w:type="paragraph" w:styleId="7">
    <w:name w:val="Body Text"/>
    <w:basedOn w:val="1"/>
    <w:qFormat/>
    <w:uiPriority w:val="1"/>
    <w:rPr>
      <w:sz w:val="32"/>
      <w:szCs w:val="32"/>
    </w:rPr>
  </w:style>
  <w:style w:type="paragraph" w:styleId="8">
    <w:name w:val="Plain Text"/>
    <w:basedOn w:val="1"/>
    <w:qFormat/>
    <w:uiPriority w:val="0"/>
    <w:rPr>
      <w:rFonts w:hAnsi="Courier New"/>
      <w:kern w:val="10"/>
      <w:szCs w:val="21"/>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7"/>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1563</Words>
  <Characters>1595</Characters>
  <Lines>128</Lines>
  <Paragraphs>36</Paragraphs>
  <TotalTime>22</TotalTime>
  <ScaleCrop>false</ScaleCrop>
  <LinksUpToDate>false</LinksUpToDate>
  <CharactersWithSpaces>1595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深海</cp:lastModifiedBy>
  <cp:lastPrinted>2022-07-15T01:52:00Z</cp:lastPrinted>
  <dcterms:modified xsi:type="dcterms:W3CDTF">2022-07-16T01:03:39Z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32F938A7598245C892F2035CB32A8DBC</vt:lpwstr>
  </property>
</Properties>
</file>