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招聘岗位情况一览表</w:t>
      </w:r>
    </w:p>
    <w:tbl>
      <w:tblPr>
        <w:tblStyle w:val="2"/>
        <w:tblW w:w="125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91"/>
        <w:gridCol w:w="1097"/>
        <w:gridCol w:w="873"/>
        <w:gridCol w:w="1373"/>
        <w:gridCol w:w="1022"/>
        <w:gridCol w:w="3897"/>
        <w:gridCol w:w="685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5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191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9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7165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685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面试比例</w:t>
            </w: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4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8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645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873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全日制大学本科及以上学历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法律相关专业</w:t>
            </w:r>
          </w:p>
        </w:tc>
        <w:tc>
          <w:tcPr>
            <w:tcW w:w="1022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35周岁以下（</w:t>
            </w:r>
            <w:r>
              <w:rPr>
                <w:rStyle w:val="5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 w:bidi="ar"/>
              </w:rPr>
              <w:t>1986年10月1日以后出生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 w:bidi="ar"/>
              </w:rPr>
              <w:t>）。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取得法律职业资格证书。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1:3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（含税费）约10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64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建筑工程相关专业</w:t>
            </w: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1.具有二级及以上建造师执业资格证书（建筑、市政方向）；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2.具有5年及以上建筑工程相关工作经验；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3.同等条件下，熟悉工程项目审批程序，有在行政审批部门工作经历优先。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1:3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（含税费）约10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645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会计学、财务管理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9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1.具有中级及以上会计师职称；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2.具有4年及以上会计工作经验；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3.能较熟练运用Word、Excel、PPT等办公软件，熟悉企业财务相关法律法规、企业成本核算和财务管理，熟悉企业税收法规等。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1:3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（含税费）约9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64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出纳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会计及相关专业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9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1:3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（含税费）约8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衡通公司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 有较强的文字写作功底和沟通、协调、组织能力，能熟练操作word、excel、PPT等办公软件；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 有相关工作经验者优先考虑。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1:3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（含税费）约8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A4907"/>
    <w:rsid w:val="046D6078"/>
    <w:rsid w:val="6E2A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5">
    <w:name w:val="font01"/>
    <w:basedOn w:val="3"/>
    <w:qFormat/>
    <w:uiPriority w:val="0"/>
    <w:rPr>
      <w:rFonts w:hint="eastAsia" w:ascii="方正仿宋_GBK" w:hAnsi="方正仿宋_GBK" w:eastAsia="方正仿宋_GBK" w:cs="方正仿宋_GBK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2021-11-09T06:54:00Z</dcterms:created>
  <dc:creator>23</dc:creator>
  <cp:lastModifiedBy>23</cp:lastModifiedBy>
  <dcterms:modified xsi:type="dcterms:W3CDTF">2021-11-09T06:55:40Z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1DDD06FF0C334B1E924C6AF2871DDFAB</vt:lpwstr>
  </property>
</Properties>
</file>