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20" w:afterAutospacing="0"/>
        <w:ind w:left="0" w:right="0"/>
        <w:jc w:val="left"/>
        <w:rPr>
          <w:rFonts w:hint="eastAsia" w:ascii="微软雅黑" w:hAnsi="微软雅黑" w:eastAsia="微软雅黑" w:cs="微软雅黑"/>
          <w:sz w:val="24"/>
          <w:szCs w:val="24"/>
        </w:rPr>
      </w:pPr>
      <w:bookmarkStart w:id="0" w:name="_GoBack"/>
      <w:bookmarkEnd w:id="0"/>
    </w:p>
    <w:tbl>
      <w:tblPr>
        <w:tblStyle w:val="3"/>
        <w:tblW w:w="7488" w:type="dxa"/>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Layout w:type="autofit"/>
        <w:tblCellMar>
          <w:top w:w="15" w:type="dxa"/>
          <w:left w:w="15" w:type="dxa"/>
          <w:bottom w:w="15" w:type="dxa"/>
          <w:right w:w="15" w:type="dxa"/>
        </w:tblCellMar>
      </w:tblPr>
      <w:tblGrid>
        <w:gridCol w:w="480"/>
        <w:gridCol w:w="816"/>
        <w:gridCol w:w="1272"/>
        <w:gridCol w:w="2088"/>
        <w:gridCol w:w="720"/>
        <w:gridCol w:w="1056"/>
        <w:gridCol w:w="1056"/>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color="auto" w:fill="auto"/>
          <w:tblCellMar>
            <w:top w:w="15" w:type="dxa"/>
            <w:left w:w="15" w:type="dxa"/>
            <w:bottom w:w="15" w:type="dxa"/>
            <w:right w:w="15" w:type="dxa"/>
          </w:tblCellMar>
        </w:tblPrEx>
        <w:tc>
          <w:tcPr>
            <w:tcW w:w="7488"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2022年度上海市崇明区定向选调生职位</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序号</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用人单位</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职位名称</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职位简介</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计划录用</w:t>
            </w:r>
          </w:p>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人数</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学历要求</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专业方向</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区纪委监委</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审查调查室一级主任科员及以下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从事违纪违规案件查办等工作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政法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区委办</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从事调查研究、综合文稿起草、信息采编等工作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区府办</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秘书科一级主任科员及以下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从事党政公文、会议纪要等文字材料的起草，专题会议、协调会议等会务落实等工作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区发改委</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产业发展和经济运行科一级主任科员及以下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从事区域经济社会发展政策制定、产业融合发展推进、国民经济运行监管等工作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硕士研究生及以上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财经</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区司法局</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乡镇司法所一级主任科员及以下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从事法治宣传、人民调解、社区矫正及安置帮教等工作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政法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区农业农村委</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农业社会事业促进科一级主任科员及以下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从事农业重点项目实施及监管等工作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城市建设、财经</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区卫生健康委</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医政医管科一级主任科员及以下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从事医政管理等工作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卫生健康</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区城管执法局</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法制科一级主任科员及以下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从事城管领域案件处理、业务指导及法制宣传培训等工作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政法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长兴镇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横沙乡</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农业农村办一级主任科员及以下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从事农业农村发展、乡村治理，农村基础设施建设及人居环境改善等工作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新村乡</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绿华镇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硕士研究生及以上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序号</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用人单位</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职位名称</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职位简介</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计划录用</w:t>
            </w:r>
          </w:p>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人数</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学历要求</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Style w:val="5"/>
                <w:rFonts w:hint="eastAsia" w:ascii="微软雅黑" w:hAnsi="微软雅黑" w:eastAsia="微软雅黑" w:cs="微软雅黑"/>
                <w:b/>
                <w:sz w:val="24"/>
                <w:szCs w:val="24"/>
              </w:rPr>
              <w:t>专业方向</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三星镇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基本管理单元一级主任科员及以下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从事基本管理单元各站点与相关职能部门的沟通协调及各站点功能区域日常管理等工作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综合管理、城市建设</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庙镇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港西镇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城桥镇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党政办一级主任科员及以下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从事机关日常事务协调管理、督促检查及文稿撰写等工作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综合管理、政法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建设镇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党政办一级主任科员及以下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从事机关日常事务协调管理、督促检查及文稿撰写等工作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硕士研究生及以上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新河镇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19</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竖新镇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基本管理单元一级主任科员及以下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从事基本管理单元各站点与相关职能部门的沟通协调及各站点功能区域日常管理等工作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堡镇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农业农村办一级主任科员及以下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从事农业农村发展、乡村治理，农村基础设施建设及人居环境改善等工作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21</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港沿镇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农业农村办一级主任科员及以下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从事农业农村发展、乡村治理，农村基础设施建设及人居环境改善等工作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向化镇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党群办一级主任科员及以下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从事基层党组织建设、干部教育培养、文稿撰写及信息报送等工作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23</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中兴镇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农业农村办一级主任科员及以下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从事农业农村发展、乡村治理，农村基础设施建设及人居环境改善等工作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24</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陈家镇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基本管理单元一级主任科员及以下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从事基本管理单元各站点与相关职能部门的沟通协调及各站点功能区域日常管理等工作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新海镇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社区建设办一级主任科员及以下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从事社会优抚、民政救助、双拥等社会事务工作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15" w:type="dxa"/>
            <w:left w:w="15" w:type="dxa"/>
            <w:bottom w:w="15" w:type="dxa"/>
            <w:right w:w="15" w:type="dxa"/>
          </w:tblCellMar>
        </w:tblPrEx>
        <w:tc>
          <w:tcPr>
            <w:tcW w:w="4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26</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东平镇</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规划环境办一级主任科员及以下</w:t>
            </w:r>
          </w:p>
        </w:tc>
        <w:tc>
          <w:tcPr>
            <w:tcW w:w="20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从事村镇规划建设、土地规划管理、生态环境保护及相关纠纷处置等工作</w:t>
            </w:r>
          </w:p>
        </w:tc>
        <w:tc>
          <w:tcPr>
            <w:tcW w:w="72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本科及以上</w:t>
            </w:r>
          </w:p>
        </w:tc>
        <w:tc>
          <w:tcPr>
            <w:tcW w:w="10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spacing w:before="0" w:beforeAutospacing="0" w:after="12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城市建设</w:t>
            </w:r>
          </w:p>
        </w:tc>
      </w:tr>
    </w:tbl>
    <w:p>
      <w:pPr>
        <w:pStyle w:val="2"/>
        <w:keepNext w:val="0"/>
        <w:keepLines w:val="0"/>
        <w:widowControl/>
        <w:suppressLineNumbers w:val="0"/>
        <w:shd w:val="clear" w:fill="FFFFFF"/>
        <w:spacing w:before="0" w:beforeAutospacing="0" w:after="12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20" w:afterAutospacing="0"/>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shd w:val="clear" w:fill="FFFFFF"/>
        </w:rPr>
        <w:t>注：选调生职位要求与专业技能储备人才职位不一致时以选调生职位要求为准。</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B1207"/>
    <w:rsid w:val="5CFB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2021-09-28T03:47:00Z</dcterms:created>
  <dc:creator>Administrator</dc:creator>
  <cp:lastModifiedBy>Administrator</cp:lastModifiedBy>
  <dcterms:modified xsi:type="dcterms:W3CDTF">2021-09-28T03:48:06Z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