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90" w:lineRule="exact"/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重庆市万州区新田镇人民政府2021年公开招聘社区专职干部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岗位情况一览表</w:t>
      </w:r>
    </w:p>
    <w:bookmarkEnd w:id="0"/>
    <w:tbl>
      <w:tblPr>
        <w:tblStyle w:val="3"/>
        <w:tblpPr w:leftFromText="180" w:rightFromText="180" w:vertAnchor="text" w:horzAnchor="page" w:tblpX="1138" w:tblpY="814"/>
        <w:tblOverlap w:val="never"/>
        <w:tblW w:w="14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850"/>
        <w:gridCol w:w="992"/>
        <w:gridCol w:w="2268"/>
        <w:gridCol w:w="993"/>
        <w:gridCol w:w="992"/>
        <w:gridCol w:w="992"/>
        <w:gridCol w:w="6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32"/>
              </w:rPr>
              <w:t>招聘岗位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32"/>
              </w:rPr>
              <w:t>招聘人数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32"/>
              </w:rPr>
              <w:t>学历要求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32"/>
              </w:rPr>
              <w:t>专业要求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32"/>
              </w:rPr>
              <w:t>开考比例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32"/>
              </w:rPr>
              <w:t>面试比例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32"/>
              </w:rPr>
              <w:t>笔试加分条件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社区专职干部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大专及以上（特殊情况</w:t>
            </w:r>
            <w:r>
              <w:rPr>
                <w:rFonts w:hint="eastAsia" w:ascii="微软雅黑" w:hAnsi="微软雅黑" w:eastAsia="微软雅黑" w:cs="微软雅黑"/>
                <w:bCs/>
                <w:kern w:val="21"/>
                <w:sz w:val="28"/>
                <w:szCs w:val="28"/>
              </w:rPr>
              <w:t>可放宽至高中、中专及以上同等学历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1：2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1：2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“两委”成员、村专职干部获得区级市级、国家级奖励分别加2分、3分、5分;持有初级、中级高级社会工作者职业资格证书者分别加2分、3分、5分;村专职干部近5年每获得一次年终考核优秀加3分，总的不超过9分；新田镇范围内未担任专职干部的现任社区“两委”成员加3分。以上加分可累计计算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E0C39"/>
    <w:rsid w:val="4A5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2021-05-27T07:02:00Z</dcterms:created>
  <dc:creator>那年花开正艳</dc:creator>
  <cp:lastModifiedBy>那年花开正艳</cp:lastModifiedBy>
  <dcterms:modified xsi:type="dcterms:W3CDTF">2021-05-27T07:02:43Z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DA04656B3DFE4F27A01F3D00F618AF21</vt:lpwstr>
  </property>
</Properties>
</file>