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bdr w:val="none" w:color="auto" w:sz="0" w:space="0"/>
          <w:shd w:val="clear" w:fill="FFFFFF"/>
        </w:rPr>
        <w:t>　　附件1</w:t>
      </w:r>
    </w:p>
    <w:tbl>
      <w:tblPr>
        <w:tblW w:w="14265" w:type="dxa"/>
        <w:tblInd w:w="0" w:type="dxa"/>
        <w:shd w:val="clear" w:color="auto" w:fill="FFFFFF"/>
        <w:tblLayout w:type="autofit"/>
        <w:tblCellMar>
          <w:top w:w="0" w:type="dxa"/>
          <w:left w:w="0" w:type="dxa"/>
          <w:bottom w:w="0" w:type="dxa"/>
          <w:right w:w="0" w:type="dxa"/>
        </w:tblCellMar>
      </w:tblPr>
      <w:tblGrid>
        <w:gridCol w:w="687"/>
        <w:gridCol w:w="493"/>
        <w:gridCol w:w="1358"/>
        <w:gridCol w:w="1066"/>
        <w:gridCol w:w="646"/>
        <w:gridCol w:w="791"/>
        <w:gridCol w:w="3310"/>
        <w:gridCol w:w="2317"/>
        <w:gridCol w:w="3597"/>
      </w:tblGrid>
      <w:tr>
        <w:tblPrEx>
          <w:shd w:val="clear" w:color="auto" w:fill="FFFFFF"/>
          <w:tblCellMar>
            <w:top w:w="0" w:type="dxa"/>
            <w:left w:w="0" w:type="dxa"/>
            <w:bottom w:w="0" w:type="dxa"/>
            <w:right w:w="0" w:type="dxa"/>
          </w:tblCellMar>
        </w:tblPrEx>
        <w:tc>
          <w:tcPr>
            <w:tcW w:w="14265" w:type="dxa"/>
            <w:gridSpan w:val="9"/>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西昌学院</w:t>
            </w:r>
            <w:r>
              <w:rPr>
                <w:rFonts w:hint="eastAsia" w:ascii="宋体" w:hAnsi="宋体" w:eastAsia="宋体" w:cs="宋体"/>
                <w:i w:val="0"/>
                <w:iCs w:val="0"/>
                <w:caps w:val="0"/>
                <w:color w:val="666666"/>
                <w:spacing w:val="0"/>
                <w:sz w:val="21"/>
                <w:szCs w:val="21"/>
                <w:u w:val="none"/>
                <w:bdr w:val="none" w:color="auto" w:sz="0" w:space="0"/>
              </w:rPr>
              <w:fldChar w:fldCharType="begin"/>
            </w:r>
            <w:r>
              <w:rPr>
                <w:rFonts w:hint="eastAsia" w:ascii="宋体" w:hAnsi="宋体" w:eastAsia="宋体" w:cs="宋体"/>
                <w:i w:val="0"/>
                <w:iCs w:val="0"/>
                <w:caps w:val="0"/>
                <w:color w:val="666666"/>
                <w:spacing w:val="0"/>
                <w:sz w:val="21"/>
                <w:szCs w:val="21"/>
                <w:u w:val="none"/>
                <w:bdr w:val="none" w:color="auto" w:sz="0" w:space="0"/>
              </w:rPr>
              <w:instrText xml:space="preserve"> HYPERLINK "http://www.pxrc.com.cn/uploadfile/20121120175640706.xls" </w:instrText>
            </w:r>
            <w:r>
              <w:rPr>
                <w:rFonts w:hint="eastAsia" w:ascii="宋体" w:hAnsi="宋体" w:eastAsia="宋体" w:cs="宋体"/>
                <w:i w:val="0"/>
                <w:iCs w:val="0"/>
                <w:caps w:val="0"/>
                <w:color w:val="666666"/>
                <w:spacing w:val="0"/>
                <w:sz w:val="21"/>
                <w:szCs w:val="21"/>
                <w:u w:val="none"/>
                <w:bdr w:val="none" w:color="auto" w:sz="0" w:space="0"/>
              </w:rPr>
              <w:fldChar w:fldCharType="separate"/>
            </w:r>
            <w:r>
              <w:rPr>
                <w:rStyle w:val="5"/>
                <w:rFonts w:hint="eastAsia" w:ascii="宋体" w:hAnsi="宋体" w:eastAsia="宋体" w:cs="宋体"/>
                <w:i w:val="0"/>
                <w:iCs w:val="0"/>
                <w:caps w:val="0"/>
                <w:color w:val="666666"/>
                <w:spacing w:val="0"/>
                <w:sz w:val="21"/>
                <w:szCs w:val="21"/>
                <w:u w:val="none"/>
                <w:bdr w:val="none" w:color="auto" w:sz="0" w:space="0"/>
              </w:rPr>
              <w:t>2021年第一批公开考核招聘事业编制外工作人员岗位和条件要求一览表</w:t>
            </w:r>
            <w:r>
              <w:rPr>
                <w:rFonts w:hint="eastAsia" w:ascii="宋体" w:hAnsi="宋体" w:eastAsia="宋体" w:cs="宋体"/>
                <w:i w:val="0"/>
                <w:iCs w:val="0"/>
                <w:caps w:val="0"/>
                <w:color w:val="666666"/>
                <w:spacing w:val="0"/>
                <w:sz w:val="21"/>
                <w:szCs w:val="21"/>
                <w:u w:val="none"/>
                <w:bdr w:val="none" w:color="auto" w:sz="0" w:space="0"/>
              </w:rPr>
              <w:fldChar w:fldCharType="end"/>
            </w:r>
          </w:p>
        </w:tc>
      </w:tr>
      <w:tr>
        <w:tblPrEx>
          <w:tblCellMar>
            <w:top w:w="0" w:type="dxa"/>
            <w:left w:w="0" w:type="dxa"/>
            <w:bottom w:w="0" w:type="dxa"/>
            <w:right w:w="0" w:type="dxa"/>
          </w:tblCellMar>
        </w:tblPrEx>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招聘单位</w:t>
            </w:r>
          </w:p>
        </w:tc>
        <w:tc>
          <w:tcPr>
            <w:tcW w:w="1860" w:type="dxa"/>
            <w:gridSpan w:val="2"/>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招聘岗位</w:t>
            </w:r>
          </w:p>
        </w:tc>
        <w:tc>
          <w:tcPr>
            <w:tcW w:w="1035" w:type="dxa"/>
            <w:vMerge w:val="restart"/>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岗位编码</w:t>
            </w:r>
          </w:p>
        </w:tc>
        <w:tc>
          <w:tcPr>
            <w:tcW w:w="630" w:type="dxa"/>
            <w:vMerge w:val="restart"/>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人数</w:t>
            </w:r>
          </w:p>
        </w:tc>
        <w:tc>
          <w:tcPr>
            <w:tcW w:w="6435" w:type="dxa"/>
            <w:gridSpan w:val="3"/>
            <w:tcBorders>
              <w:top w:val="single" w:color="000000" w:sz="6" w:space="0"/>
              <w:left w:val="nil"/>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其他条件要求</w:t>
            </w:r>
          </w:p>
        </w:tc>
        <w:tc>
          <w:tcPr>
            <w:tcW w:w="3615" w:type="dxa"/>
            <w:vMerge w:val="restart"/>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备注</w:t>
            </w:r>
          </w:p>
        </w:tc>
      </w:tr>
      <w:tr>
        <w:tblPrEx>
          <w:tblCellMar>
            <w:top w:w="0" w:type="dxa"/>
            <w:left w:w="0" w:type="dxa"/>
            <w:bottom w:w="0" w:type="dxa"/>
            <w:right w:w="0" w:type="dxa"/>
          </w:tblCellMar>
        </w:tblPrEx>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岗位类别</w:t>
            </w:r>
          </w:p>
        </w:tc>
        <w:tc>
          <w:tcPr>
            <w:tcW w:w="136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岗位名称</w:t>
            </w:r>
          </w:p>
        </w:tc>
        <w:tc>
          <w:tcPr>
            <w:tcW w:w="1035" w:type="dxa"/>
            <w:vMerge w:val="continue"/>
            <w:tcBorders>
              <w:top w:val="single" w:color="000000" w:sz="6" w:space="0"/>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630" w:type="dxa"/>
            <w:vMerge w:val="continue"/>
            <w:tcBorders>
              <w:top w:val="single" w:color="000000" w:sz="6" w:space="0"/>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79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学位</w:t>
            </w:r>
          </w:p>
        </w:tc>
        <w:tc>
          <w:tcPr>
            <w:tcW w:w="3315" w:type="dxa"/>
            <w:vMerge w:val="restart"/>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专业（代码）条件要求</w:t>
            </w:r>
          </w:p>
        </w:tc>
        <w:tc>
          <w:tcPr>
            <w:tcW w:w="2325" w:type="dxa"/>
            <w:vMerge w:val="restart"/>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其他</w:t>
            </w:r>
          </w:p>
        </w:tc>
        <w:tc>
          <w:tcPr>
            <w:tcW w:w="3615" w:type="dxa"/>
            <w:vMerge w:val="continue"/>
            <w:tcBorders>
              <w:top w:val="single" w:color="000000" w:sz="6" w:space="0"/>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r>
      <w:t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035" w:type="dxa"/>
            <w:vMerge w:val="continue"/>
            <w:tcBorders>
              <w:top w:val="single" w:color="000000" w:sz="6" w:space="0"/>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630" w:type="dxa"/>
            <w:vMerge w:val="continue"/>
            <w:tcBorders>
              <w:top w:val="single" w:color="000000" w:sz="6" w:space="0"/>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7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315" w:type="dxa"/>
            <w:vMerge w:val="continue"/>
            <w:tcBorders>
              <w:top w:val="single" w:color="000000" w:sz="6" w:space="0"/>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2325" w:type="dxa"/>
            <w:vMerge w:val="continue"/>
            <w:tcBorders>
              <w:top w:val="single" w:color="000000" w:sz="6" w:space="0"/>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vMerge w:val="continue"/>
            <w:tcBorders>
              <w:top w:val="single" w:color="000000" w:sz="6" w:space="0"/>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r>
      <w:tr>
        <w:tblPrEx>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信息技术学院</w:t>
            </w:r>
          </w:p>
        </w:tc>
        <w:tc>
          <w:tcPr>
            <w:tcW w:w="49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专技</w:t>
            </w: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电子信息工程专业专任教师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21030101</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信息与通信工程（081000）、电子与通信工程（085208）、控制科学与工程（081100）、控制工程（081101）、通信与信息系统（081001）、信号与信息处理（081002）、电子与通信工程(085208)、控制理论与控制工程（081101）、检测技术与自动化装置（081102）、仪器科学与技术(080400)、电子科学与技术(077400)、光学工程(080300)、电子信息(085400)、电路与系统（080902）</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担任c语言程序设计、数据结构、模拟电子技术基础、数字逻辑电路、物联网技术、射频技术、电路分析、通信原理、DSP技术、数据通信、半导体物理、电磁场与电磁波、信号与系统、嵌入式系统与设计、嵌入式系统开发、嵌入式系统原理与应用等其中三门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计算机科学与技术专业专任教师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21030102</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3</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计算机科学与技术(077500/081200)、网络空间安全(083900)、信息与通信工程(081000)、通信与信息系统（081001）、计算机应用技术(077503/081203)、软件工程(083500)、电子信息（085400）、信号与信息处理(081002)、模式识别与智能系统(081104)、系统分析与集成（071102）、系统理论（071101）</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担任HTML程序设计、软件工程概论、大数据编程基础、大数据开发技术、Java程序设计、数据结构与算法、计算机组成原理、计算机网络基础、物联网技术、图像信息处理、计算机图形学、python语言程序设计、计算机动画等其中三门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计算机基础课程专任教师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21030103</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1</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电子信息（085400）、计算机科学与技术(077500/081200)、计算机系统结构(077501/081201)、计算机软件与理论077502/081202)、计算机应用技术(077503/081203)、计算机系统结构（077501/081201）</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进校后承担少数民族预科教育学院计算机基础、计算机应用基础等课程的教学及语言文字综合实验室管理工作</w:t>
            </w:r>
          </w:p>
        </w:tc>
      </w:tr>
      <w:tr>
        <w:tblPrEx>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机械与电气工程学院</w:t>
            </w:r>
          </w:p>
        </w:tc>
        <w:tc>
          <w:tcPr>
            <w:tcW w:w="49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专技</w:t>
            </w: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电气工程及其自动化专业专任教师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21030201</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电气工程(080800)、电力系统及其自动化(080802)、电力电子与电力传动(080804)、电机与电器(080801)、电工理论与新技术(080805)、高电压与绝缘技术(080803）、控制工程（081101）、控制理论与控制工程（081101）、控制科学与工程（081100）、检测技术与自动化装置（081102）、系统工程（081103）、模式识别与智能系统（081104）、农业电气化与自动化（082804）</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进校后能承担PLC、自动检测技术、电路原理、数字电子技术、发电厂电气部分、电力系统自动化、电力系统继电保护、高电压技术、电力系统分析、电机学、新能源发电技术、电力电子技术等其中三门课程的教学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汽车服务工程专业专任教师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21030202</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1</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车辆工程（080204）、动力机械及工程（080703）、 交通运输工程（082300）、交通信息工程及控制（082302）</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进校后能承担机械制图、汽车运用工程、汽车发动机原理、汽车电气设备、新能源汽车技术、汽车维修工程、汽车检测与诊断技术、汽车底盘构造、汽车评估实务、汽车营销、汽车运行材料等其中三门课程的教学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机械电子工程专业专任教师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21030203</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农业机械化工程（082801）、机械工程（080200）、机械电子工程（080202）、机械设计及理论（080203）、机械制造及其自动化（080201）、精密仪器及机械（080401）、测试计量技术及仪器（080402）、流体机械及工程（080704）、化工过程机械（080706）、电路与系统（077402/080902）、微电子学与固体电子学（077403/080903）、通信与信息系统（081001）、信号与信息处理（081002）、计算机应用技术（077503/081203）、农产品加工及贮藏工程（083203/097203）</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自动检测技术、电路原理、数字电子技术、模拟电子技术、C语言、机械基础、机械制图、工业机器人、机械设计、控制工程、机械工程材料、机械制造、单片机、机电传动控制等其中三门课程的教学</w:t>
            </w:r>
          </w:p>
        </w:tc>
      </w:tr>
      <w:tr>
        <w:tblPrEx>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马克思主义学院</w:t>
            </w:r>
          </w:p>
        </w:tc>
        <w:tc>
          <w:tcPr>
            <w:tcW w:w="4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专技</w:t>
            </w: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思想政治理论课专任教师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21030301</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5</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马克思主义基本原理（030501）、马克思主义中国化（030503）、思想政治教育（030505）、科学技术哲学（010108）或虽无上述专业背景，但有从事思想政治教育、在机关事业单位或国有大中型企业从事2年以上党务工作经历的其他专业（须提供证明）。</w:t>
            </w:r>
          </w:p>
        </w:tc>
        <w:tc>
          <w:tcPr>
            <w:tcW w:w="232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中共党员（含预备党员）</w:t>
            </w: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进校后能承担马克思主义基本原理、毛泽东思想和中国特色社会主义理论体系概论、中国近现代史纲要、思想道德与法治等课程的教学</w:t>
            </w:r>
          </w:p>
        </w:tc>
      </w:tr>
      <w:tr>
        <w:tblPrEx>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经济管理学院</w:t>
            </w:r>
          </w:p>
        </w:tc>
        <w:tc>
          <w:tcPr>
            <w:tcW w:w="49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专技</w:t>
            </w: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金融工程专业专任教师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21030401</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金融（025100）、金融学（020204）</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进校后能承担货币金融学、金融工程学、金融市场学等课程的教学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工商管理专业专任教师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21030402</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工商管理（120200/125100）、企业管理（120202）、管理科学与工程（120100）</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进校后能承担管理运筹学、SPSS统计软件应用、管理信息系统等课程的教学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电子商务专业专任教师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21030403</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工商管理（120200/125100）（电子商务方向）、管理科学与工程（电子商务、大数据管理方向）（120100）、农业科技组织与服务(095111)</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进校后能承担计算机编程、网络技术、大数据技术原理与运用、网页设计与制作、跨境电商、商务智能数据分析等其中三门课程的教学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财务管理专业专任教师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21030404</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会计（125300）、金融（025100）</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进校后能承担跨国公司财务、互联网金融、财务数字化等多门财务专业理论和实训课程教学</w:t>
            </w:r>
          </w:p>
        </w:tc>
      </w:tr>
      <w:tr>
        <w:tblPrEx>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动物科学学院</w:t>
            </w:r>
          </w:p>
        </w:tc>
        <w:tc>
          <w:tcPr>
            <w:tcW w:w="49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专技</w:t>
            </w: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动物医学专业专任教师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21030501</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3</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基础兽医学（090601）、预防兽医学（090602）、临床兽医学（090603）、兽医学（090600）</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进校后能担任动物医学专业兽医微生物及免疫学、兽医临床诊断、兽医内科学、兽医外科学及外科手术、中兽医学、兽医公共卫生等课程的理论及实验实习实践教学工作</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制药工程专业专任教师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21030502</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药物化学（078001/100701）、药剂学(078002/100702)、药物分析学(078004/100704)、微生物与生化药学(078005/100705)、生药学(078003/100703）、中药学（078100/100800/105600）</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进校后能担任药物分离工程及实训、药物制剂学及实训、发酵工程及实训等制药工程专业课程的的理论及实验实习实践教学工作</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水产养殖专业专任教师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21030503</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1</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水产养殖(090801)</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进校后能担任水产专业鱼类学与组织胚胎学、水环境化学、水产动物遗传育种学、饵料生物培养学、池塘养鱼学、名特水产动物及海水鱼养殖学、内陆水域鱼类增养殖学等课程的理论及实验实习实践教学工作</w:t>
            </w:r>
          </w:p>
        </w:tc>
      </w:tr>
      <w:tr>
        <w:tblPrEx>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旅游与城乡规划学院</w:t>
            </w:r>
          </w:p>
        </w:tc>
        <w:tc>
          <w:tcPr>
            <w:tcW w:w="49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专技</w:t>
            </w: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行政管理专业专任教师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21030601</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行政管理(120401)</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进校后能承担社区管理、行政法与行政诉讼法、逻辑学、行政职业能力测试、申论等课程的教学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城乡规划学专业专任教师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21030602</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城乡规划学(083300)</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进校后能担任城乡市政基础设施、建筑构造、场地设计、城乡规划模型制作等理论及实训课程的教学，并能够进行城乡规划设计等项目的设计和研究</w:t>
            </w:r>
          </w:p>
        </w:tc>
      </w:tr>
      <w:tr>
        <w:tblPrEx>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文化传媒学院</w:t>
            </w:r>
          </w:p>
        </w:tc>
        <w:tc>
          <w:tcPr>
            <w:tcW w:w="49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专技</w:t>
            </w: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语文学科教学专任教师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21030701</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1</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学科教学（语文）(045103)</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进校后能够承担语文学科知识与教学能力研究、中学语文学科知识与教学能力、高中语文学科知识与教学能力、说课与微课实训、中学语文教学观摩、小学语文课教学见习其中至少三门课程的教学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汉语言文学专业专任教师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21030702</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1</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汉语言文字学(050103)、语言学及应用语言学(050102)、汉语国际教育(045174/045300)</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进校后能够担任语言学概论、现代汉语、古代汉语、文字学至少三门课程的教学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网络与新媒体专业专任教师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21030703</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4</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新闻学(050301)、传播学(050302)、广告学（0503Z2）、网络与新媒体(0503Z4)、新闻传播学(050300)、新闻与传播(055200)</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进校后能承担传播学、网络新闻编辑、新媒体概论、新媒体营销与策划、融合新闻学、新媒体作品创作等其中三门课程的教学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播音与主持艺术专业专任教师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21030704</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戏剧与影视学(130300)、戏剧(135102)、文艺与传媒(0503Z1)、广播电视学(0503Z1)</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进校后能承担微电影创作、视听语言、纪录片创作、电视节目策划、普通话、播音发声、广播电视学、新媒体运营、播音创作、电视播音与主持实训等其中三门课程的教学</w:t>
            </w:r>
          </w:p>
        </w:tc>
      </w:tr>
      <w:tr>
        <w:tblPrEx>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彝语言文化学院</w:t>
            </w:r>
          </w:p>
        </w:tc>
        <w:tc>
          <w:tcPr>
            <w:tcW w:w="49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专技</w:t>
            </w: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中国少数民族语言文学专业专任教师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21030801</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5</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中国语言文学(050100)、中国古代文学(050105)、比较文学与世界文学(050108)、中国现当代文学(050106)、汉语言文字学(050103)）、中国少数民族语言文学（050104）、彝语言文学（050107）</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进校后能承担文学概论、语言学概论、民族学概论等课程的教学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社会学专业专任教师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21030802</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4</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社会学(030300)、人类学(030303)、民俗学(030304)、人口学(030302）</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进校后能承担社会学概论、社会学研究方法、社会心理学等课程的教学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vMerge w:val="restart"/>
            <w:tcBorders>
              <w:top w:val="nil"/>
              <w:left w:val="nil"/>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民族政策与民族理论课程专任教师</w:t>
            </w:r>
          </w:p>
        </w:tc>
        <w:tc>
          <w:tcPr>
            <w:tcW w:w="1035"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2103080301</w:t>
            </w:r>
          </w:p>
        </w:tc>
        <w:tc>
          <w:tcPr>
            <w:tcW w:w="630"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1</w:t>
            </w:r>
          </w:p>
        </w:tc>
        <w:tc>
          <w:tcPr>
            <w:tcW w:w="795"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民族学(030400)</w:t>
            </w:r>
          </w:p>
        </w:tc>
        <w:tc>
          <w:tcPr>
            <w:tcW w:w="2325" w:type="dxa"/>
            <w:tcBorders>
              <w:top w:val="nil"/>
              <w:left w:val="nil"/>
              <w:bottom w:val="single" w:color="auto"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进校后承担少数民族预科教育学院民族政策与民族理论、历史、思想政治教育等课程的教学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2103080302</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1</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马克思民族理论与政策（030402）、民族学(030401)</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进校后承担彝语言文化学院民族学本科专业体质人类学、中国民族志等课程的教学</w:t>
            </w:r>
          </w:p>
        </w:tc>
      </w:tr>
      <w:tr>
        <w:tblPrEx>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土木与水利工程学院</w:t>
            </w:r>
          </w:p>
        </w:tc>
        <w:tc>
          <w:tcPr>
            <w:tcW w:w="49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专技</w:t>
            </w: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水利水电工程专业专任教师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21030901</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水利水电工程（081504）</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进校后能担任水利工程施工、水工建筑物、水利工程施工组织设计、岩体力学、水力学等其中三门课程的教学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市政工程专业专任教师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21030902</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1</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市政工程（081403）</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进校后能担任城市规划原理及设计、施工技术与施工组织、工程信息管理、监理工程概论等其中三门课程的教学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土木工程专业专任教师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21030903</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土木工程（081400）</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进校后能担任工程制图、给排水管道工程施工、水质工程学、施工技术与施工组织、水处理工程等其中三门课程的教学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工程管理专业专任教师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21030904</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工程管理（125600）</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进校后能担任土木工程概论、施工技术与施工组织、工程制图、建筑工程造价等其中三门课程的教学</w:t>
            </w:r>
          </w:p>
        </w:tc>
      </w:tr>
      <w:tr>
        <w:tblPrEx>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外国语学院</w:t>
            </w:r>
          </w:p>
        </w:tc>
        <w:tc>
          <w:tcPr>
            <w:tcW w:w="49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专技</w:t>
            </w: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英语课程专任教师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21031001</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1</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英语语言文学（050201）、外国语言文学（英语方向）（050200）、外国语言学及应用语言学（英语方向）(050211)、翻译（055100）、翻译学（英语方向）（0502Z1）</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进校后承担少数民族预科教育学院大学英语、英语听力、英语精读等课程的教学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英语专业专任教师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21031002</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5</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英语语言文学（050201）、外国语言文学）(050200)（英语方向）、外国语言学及应用语言学(050211)（英语方向）、外语教学技术与评估（英语方向）(0502Z5)、外语课程与教学（英语方向）（040102）、外国语言教育学（英语方向）（0401Z1)、学科教学（英语）（045108）</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进校后能承担语言学、英美文学、西方文明史、英语演讲与辩论、英语教学法与课程评课说课、英语语言测试、现代外语教育技术、科学研究与论文习作、大学英语等其中三门课程教学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翻译专业专任教师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21031003</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3</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翻译（055100）、翻译学（英语方向）（0502Z1）、英语口译（055102）、英语笔译（055101）</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进校后能承担英汉互译理论与技巧、英汉笔译实践、汉英笔译实践、口译、交替传译、陪同口译、联络口译、计算机辅助翻译等其中三门课程教学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商务英语专业专任教师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21031004</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外国语言学及应用语言学（国际商务英语、商务英语教学或跨文化商务交际方向）（050211）、商务英语研究（0502Z3）、国际法商英语（0301Z1）、国际商务（跨境电子商务方向）(025400)或者本科为商务英语（050262）、国际经济与贸易（020401）、国际商务（120205）专业且硕士研究生为英语语言文学（050201）、外国语言文学（050200）（英语方向）、外国语言学及应用语言学（050211）（英语方向）、外语教学技术与评估（英语方向）(0502Z5)、外语课程与教学（英语方向）（040102）、外国语言教育学（英语方向）（0401Z1)、学科教学（英语）（045108）、英语口译（055102）、翻译学（英语方向）（0502Z1）、英语笔译（055101）专业</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进校后能承担跨境电子商务、国际贸易理论、国际贸易实务、国际商务谈判、国际市场营销、国际商法、综合商务英语、商务英语阅读等其中三门课程教学</w:t>
            </w:r>
          </w:p>
        </w:tc>
      </w:tr>
      <w:tr>
        <w:tblPrEx>
          <w:tblCellMar>
            <w:top w:w="0" w:type="dxa"/>
            <w:left w:w="0" w:type="dxa"/>
            <w:bottom w:w="0" w:type="dxa"/>
            <w:right w:w="0" w:type="dxa"/>
          </w:tblCellMar>
        </w:tblPrEx>
        <w:tc>
          <w:tcPr>
            <w:tcW w:w="690" w:type="dxa"/>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理学院</w:t>
            </w:r>
          </w:p>
        </w:tc>
        <w:tc>
          <w:tcPr>
            <w:tcW w:w="4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专技</w:t>
            </w: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物理学专业专任教师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21031101</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理论物理（070201）、粒子物理与原子核物理（070202）、原子与分子物理（070203）、等离子体物理（070204）、凝聚态物理（070205）、声学（070206）、光学（070207）、天体物理（070401）、课程与教学论（040102）、学科教学（物理学）（045105）</w:t>
            </w:r>
          </w:p>
        </w:tc>
        <w:tc>
          <w:tcPr>
            <w:tcW w:w="232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课程与教学论专业要求为物理学方向</w:t>
            </w: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进校后承担大学物理、大学物理实验、量子力学等课程的教学</w:t>
            </w:r>
          </w:p>
        </w:tc>
      </w:tr>
      <w:tr>
        <w:tblPrEx>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学院</w:t>
            </w:r>
          </w:p>
        </w:tc>
        <w:tc>
          <w:tcPr>
            <w:tcW w:w="49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专技</w:t>
            </w: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视觉传达设计专业专任教师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21031201</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设计学（087200、130500）、设计艺术学（1305L1）、美术学（1304L1、130400）</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熟悉数字媒体技术、影视编辑技术，进校后能承担包装设计、展示设计、视频编辑等课程</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音乐专业专任教师</w:t>
            </w:r>
          </w:p>
        </w:tc>
        <w:tc>
          <w:tcPr>
            <w:tcW w:w="1035"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21031202</w:t>
            </w:r>
          </w:p>
        </w:tc>
        <w:tc>
          <w:tcPr>
            <w:tcW w:w="630"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1</w:t>
            </w:r>
          </w:p>
        </w:tc>
        <w:tc>
          <w:tcPr>
            <w:tcW w:w="795"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音乐学（1302L1）、音乐（135101）音乐与舞蹈学（音乐方向）（130200  ）</w:t>
            </w:r>
          </w:p>
        </w:tc>
        <w:tc>
          <w:tcPr>
            <w:tcW w:w="2325" w:type="dxa"/>
            <w:tcBorders>
              <w:top w:val="nil"/>
              <w:left w:val="nil"/>
              <w:bottom w:val="single" w:color="auto"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熟悉钢琴教学，能够承担钢琴、即兴伴奏、钢琴教学法等专业课程</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舞蹈专业专任教师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21031203</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1</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舞蹈（135106）、音乐与舞蹈学（舞蹈方向）（130200）</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进校后能承担古典舞身韵、技术技巧、现代舞、舞蹈编创、舞蹈学等专业主干课程教学</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美术专业专任教师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21031204</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美术学（1304L1、130400）、美术（135107）</w:t>
            </w:r>
          </w:p>
        </w:tc>
        <w:tc>
          <w:tcPr>
            <w:tcW w:w="2325" w:type="dxa"/>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进校后能够承担设计、壁画、手绘、雕塑等实用美术类课程的教学</w:t>
            </w:r>
          </w:p>
        </w:tc>
      </w:tr>
      <w:tr>
        <w:tblPrEx>
          <w:tblCellMar>
            <w:top w:w="0" w:type="dxa"/>
            <w:left w:w="0" w:type="dxa"/>
            <w:bottom w:w="0" w:type="dxa"/>
            <w:right w:w="0" w:type="dxa"/>
          </w:tblCellMar>
        </w:tblPrEx>
        <w:tc>
          <w:tcPr>
            <w:tcW w:w="690"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体育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学院</w:t>
            </w:r>
          </w:p>
        </w:tc>
        <w:tc>
          <w:tcPr>
            <w:tcW w:w="49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专技</w:t>
            </w:r>
          </w:p>
        </w:tc>
        <w:tc>
          <w:tcPr>
            <w:tcW w:w="136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体育教育专业专任教师</w:t>
            </w: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21031301</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5</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体育教学（045201）、体育教育训练学（040303）、运动训练（045202）、社会体育指导（045204）、竞赛组织（045203）</w:t>
            </w:r>
          </w:p>
        </w:tc>
        <w:tc>
          <w:tcPr>
            <w:tcW w:w="232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本科为体育教育(040201)、运动训练(040202)、社会体育指导与管理(040203)专业</w:t>
            </w: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进校后能承担公共体育课程、专业专项教学与代表队训练</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21031302</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体育教学（045201）、体育教育训练学（040303）、运动训练（045202）、社会体育指导（045204）、竞赛组织（045203）</w:t>
            </w:r>
          </w:p>
        </w:tc>
        <w:tc>
          <w:tcPr>
            <w:tcW w:w="232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本科为体育教育(040201)、运动训练(040202)、社会体育指导与管理(040203)专业，具有健美操、排舞、舞蹈、啦啦操教练员等级证书之一</w:t>
            </w: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进校后能承担公共体育课程、健美操或跳绳项目的教学与代表队训练</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21031303</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1</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体育教学（045201）、民族传统体育学（040304）、体育教育训练学（040303）</w:t>
            </w:r>
          </w:p>
        </w:tc>
        <w:tc>
          <w:tcPr>
            <w:tcW w:w="232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本科为体育教育(040201)、武术与民族传统体育(040204)专业，具有武术段位5段及其以上段位或国家一级裁判员及其以上等级证书</w:t>
            </w: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进校后能承担公共体育课程、武术项目的教学与武术代表队训练</w:t>
            </w:r>
          </w:p>
        </w:tc>
      </w:tr>
      <w:tr>
        <w:tblPrEx>
          <w:tblCellMar>
            <w:top w:w="0" w:type="dxa"/>
            <w:left w:w="0" w:type="dxa"/>
            <w:bottom w:w="0" w:type="dxa"/>
            <w:right w:w="0" w:type="dxa"/>
          </w:tblCellMar>
        </w:tblPrEx>
        <w:tc>
          <w:tcPr>
            <w:tcW w:w="690"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vMerge w:val="continue"/>
            <w:tcBorders>
              <w:top w:val="nil"/>
              <w:left w:val="nil"/>
              <w:bottom w:val="single" w:color="000000"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21031304</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1</w:t>
            </w:r>
          </w:p>
        </w:tc>
        <w:tc>
          <w:tcPr>
            <w:tcW w:w="79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运动人体科学（040302)、运动医学(100216/105115)、康复医学与理疗学(100215/105114)</w:t>
            </w:r>
          </w:p>
        </w:tc>
        <w:tc>
          <w:tcPr>
            <w:tcW w:w="232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本科为体育教育(040201)、运动人体科学(040205)、运动康复(040206)专业</w:t>
            </w: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进校后能承担运动解剖学、运动生理学、体育保健学课程教学</w:t>
            </w:r>
          </w:p>
        </w:tc>
      </w:tr>
      <w:tr>
        <w:tblPrEx>
          <w:tblCellMar>
            <w:top w:w="0" w:type="dxa"/>
            <w:left w:w="0" w:type="dxa"/>
            <w:bottom w:w="0" w:type="dxa"/>
            <w:right w:w="0" w:type="dxa"/>
          </w:tblCellMar>
        </w:tblPrEx>
        <w:tc>
          <w:tcPr>
            <w:tcW w:w="690" w:type="dxa"/>
            <w:vMerge w:val="restart"/>
            <w:tcBorders>
              <w:top w:val="nil"/>
              <w:left w:val="single" w:color="000000" w:sz="6" w:space="0"/>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教师教育学院</w:t>
            </w:r>
          </w:p>
        </w:tc>
        <w:tc>
          <w:tcPr>
            <w:tcW w:w="495" w:type="dxa"/>
            <w:vMerge w:val="restart"/>
            <w:tcBorders>
              <w:top w:val="nil"/>
              <w:left w:val="nil"/>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专技</w:t>
            </w:r>
          </w:p>
        </w:tc>
        <w:tc>
          <w:tcPr>
            <w:tcW w:w="1365" w:type="dxa"/>
            <w:vMerge w:val="restart"/>
            <w:tcBorders>
              <w:top w:val="nil"/>
              <w:left w:val="nil"/>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小学教育专业专任教师</w:t>
            </w:r>
          </w:p>
        </w:tc>
        <w:tc>
          <w:tcPr>
            <w:tcW w:w="1035"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21031401</w:t>
            </w:r>
          </w:p>
        </w:tc>
        <w:tc>
          <w:tcPr>
            <w:tcW w:w="630"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5</w:t>
            </w:r>
          </w:p>
        </w:tc>
        <w:tc>
          <w:tcPr>
            <w:tcW w:w="795" w:type="dxa"/>
            <w:vMerge w:val="restart"/>
            <w:tcBorders>
              <w:top w:val="nil"/>
              <w:left w:val="nil"/>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教育学（040100）、教育学原理（040101）、高等教育学（040106）、职业技术教育学（040108）、教育技术学（040110）、成人教育学（040107）、学前教育学（040105）、学前教育（045118）、心理学（040200、077100）、应用心理学（040203、077103）、 发展与教育心理学（040202、077102）</w:t>
            </w:r>
          </w:p>
        </w:tc>
        <w:tc>
          <w:tcPr>
            <w:tcW w:w="2325" w:type="dxa"/>
            <w:tcBorders>
              <w:top w:val="nil"/>
              <w:left w:val="nil"/>
              <w:bottom w:val="single" w:color="auto" w:sz="6" w:space="0"/>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进校后能承担教育心理学、教育学、微格教学、现代教育技术、多媒体课件制作、课程与教学论、教育科学研究方法、教育统计与评价、教育哲学、教育史等其中三门课程的教学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035"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21031402</w:t>
            </w:r>
          </w:p>
        </w:tc>
        <w:tc>
          <w:tcPr>
            <w:tcW w:w="630"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1</w:t>
            </w:r>
          </w:p>
        </w:tc>
        <w:tc>
          <w:tcPr>
            <w:tcW w:w="79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315"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教育学（040100）、教育学原理（040101）、职业技术教育学（040108）、教育技术学（040110）、成人教育学（040107）、学前教育学（040105）、学前教育（045118）、心理学（040200、077100）、应用心理学（040203、077103）</w:t>
            </w:r>
          </w:p>
        </w:tc>
        <w:tc>
          <w:tcPr>
            <w:tcW w:w="2325"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本科为学前教育专业</w:t>
            </w:r>
          </w:p>
        </w:tc>
        <w:tc>
          <w:tcPr>
            <w:tcW w:w="3615"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儿童心理学、学前教育学、学前教育史、感觉统合训练与指导、育婴师技能指导、亲子教育技能指导、奥尔夫音乐教学法、学前儿童家庭教育与指导、学前儿童游戏、学前儿童艺术教育、幼儿园实用手工与环境创设、婴幼儿生理卫生与保健常识等其中三门以上课程的教学</w:t>
            </w:r>
          </w:p>
        </w:tc>
      </w:tr>
      <w:tr>
        <w:tblPrEx>
          <w:tblCellMar>
            <w:top w:w="0" w:type="dxa"/>
            <w:left w:w="0" w:type="dxa"/>
            <w:bottom w:w="0" w:type="dxa"/>
            <w:right w:w="0" w:type="dxa"/>
          </w:tblCellMar>
        </w:tblPrEx>
        <w:tc>
          <w:tcPr>
            <w:tcW w:w="690" w:type="dxa"/>
            <w:vMerge w:val="continue"/>
            <w:tcBorders>
              <w:top w:val="nil"/>
              <w:left w:val="single" w:color="000000" w:sz="6" w:space="0"/>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21031403</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1</w:t>
            </w:r>
          </w:p>
        </w:tc>
        <w:tc>
          <w:tcPr>
            <w:tcW w:w="79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3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教育学（040100）、教育学原理（040101）、成人教育学（040107）、学前教育学（040105）、学前教育（045118）、心理学（040200、077100）、应用心理学（040203、077103）、 发展与教育心理学（040202、077102）</w:t>
            </w:r>
          </w:p>
        </w:tc>
        <w:tc>
          <w:tcPr>
            <w:tcW w:w="232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本科为心理学、应用心理学专业</w:t>
            </w:r>
          </w:p>
        </w:tc>
        <w:tc>
          <w:tcPr>
            <w:tcW w:w="361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进校后能承担实验心理学、教育心理学、生理心理学、咨询心理学、社会心理学、团体心理辅导、犯罪心理学、教育学、学前教育学等其中三门课程的教学</w:t>
            </w:r>
          </w:p>
        </w:tc>
      </w:tr>
      <w:tr>
        <w:tblPrEx>
          <w:tblCellMar>
            <w:top w:w="0" w:type="dxa"/>
            <w:left w:w="0" w:type="dxa"/>
            <w:bottom w:w="0" w:type="dxa"/>
            <w:right w:w="0" w:type="dxa"/>
          </w:tblCellMar>
        </w:tblPrEx>
        <w:tc>
          <w:tcPr>
            <w:tcW w:w="690" w:type="dxa"/>
            <w:vMerge w:val="restart"/>
            <w:tcBorders>
              <w:top w:val="nil"/>
              <w:left w:val="single" w:color="000000" w:sz="6" w:space="0"/>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学生工作部</w:t>
            </w:r>
          </w:p>
        </w:tc>
        <w:tc>
          <w:tcPr>
            <w:tcW w:w="495" w:type="dxa"/>
            <w:vMerge w:val="restart"/>
            <w:tcBorders>
              <w:top w:val="nil"/>
              <w:left w:val="nil"/>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专技</w:t>
            </w:r>
          </w:p>
        </w:tc>
        <w:tc>
          <w:tcPr>
            <w:tcW w:w="1365" w:type="dxa"/>
            <w:vMerge w:val="restart"/>
            <w:tcBorders>
              <w:top w:val="nil"/>
              <w:left w:val="nil"/>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专职辅导员</w:t>
            </w:r>
          </w:p>
        </w:tc>
        <w:tc>
          <w:tcPr>
            <w:tcW w:w="1035" w:type="dxa"/>
            <w:vMerge w:val="restart"/>
            <w:tcBorders>
              <w:top w:val="nil"/>
              <w:left w:val="nil"/>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21031501</w:t>
            </w:r>
          </w:p>
        </w:tc>
        <w:tc>
          <w:tcPr>
            <w:tcW w:w="630" w:type="dxa"/>
            <w:vMerge w:val="restart"/>
            <w:tcBorders>
              <w:top w:val="nil"/>
              <w:left w:val="nil"/>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6（男）</w:t>
            </w:r>
          </w:p>
        </w:tc>
        <w:tc>
          <w:tcPr>
            <w:tcW w:w="795" w:type="dxa"/>
            <w:vMerge w:val="restart"/>
            <w:tcBorders>
              <w:top w:val="nil"/>
              <w:left w:val="nil"/>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硕士研究生学历学位</w:t>
            </w:r>
          </w:p>
        </w:tc>
        <w:tc>
          <w:tcPr>
            <w:tcW w:w="3315" w:type="dxa"/>
            <w:vMerge w:val="restart"/>
            <w:tcBorders>
              <w:top w:val="nil"/>
              <w:left w:val="nil"/>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both"/>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高等教育学（040106）、教育学原理（040101）、心理健康教育(045116)、、发展与教育心理学(040202)、基础心理学(040201)、心理学(040200)、应用心理学（040203）、思想政治教育(030505)或者无上述专业背景，但有从事党团、辅导员（班主任）工作或在大学期间担任过2年以上学生干部经历的其他专业（须提供聘书或证明）</w:t>
            </w:r>
          </w:p>
        </w:tc>
        <w:tc>
          <w:tcPr>
            <w:tcW w:w="2325" w:type="dxa"/>
            <w:vMerge w:val="restart"/>
            <w:tcBorders>
              <w:top w:val="nil"/>
              <w:left w:val="nil"/>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中共党员（含预备党员）</w:t>
            </w:r>
          </w:p>
        </w:tc>
        <w:tc>
          <w:tcPr>
            <w:tcW w:w="3615" w:type="dxa"/>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入住男生学生公寓</w:t>
            </w:r>
          </w:p>
        </w:tc>
      </w:tr>
      <w:tr>
        <w:tblPrEx>
          <w:tblCellMar>
            <w:top w:w="0" w:type="dxa"/>
            <w:left w:w="0" w:type="dxa"/>
            <w:bottom w:w="0" w:type="dxa"/>
            <w:right w:w="0" w:type="dxa"/>
          </w:tblCellMar>
        </w:tblPrEx>
        <w:tc>
          <w:tcPr>
            <w:tcW w:w="690" w:type="dxa"/>
            <w:vMerge w:val="continue"/>
            <w:tcBorders>
              <w:top w:val="nil"/>
              <w:left w:val="single" w:color="000000" w:sz="6" w:space="0"/>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03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630"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79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31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232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vMerge w:val="restart"/>
            <w:tcBorders>
              <w:top w:val="nil"/>
              <w:left w:val="nil"/>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入住女生学生公寓</w:t>
            </w:r>
          </w:p>
        </w:tc>
      </w:tr>
      <w:tr>
        <w:tblPrEx>
          <w:tblCellMar>
            <w:top w:w="0" w:type="dxa"/>
            <w:left w:w="0" w:type="dxa"/>
            <w:bottom w:w="0" w:type="dxa"/>
            <w:right w:w="0" w:type="dxa"/>
          </w:tblCellMar>
        </w:tblPrEx>
        <w:tc>
          <w:tcPr>
            <w:tcW w:w="690" w:type="dxa"/>
            <w:vMerge w:val="continue"/>
            <w:tcBorders>
              <w:top w:val="nil"/>
              <w:left w:val="single" w:color="000000" w:sz="6" w:space="0"/>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49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36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1035"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21031502</w:t>
            </w:r>
          </w:p>
        </w:tc>
        <w:tc>
          <w:tcPr>
            <w:tcW w:w="63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bdr w:val="none" w:color="auto" w:sz="0" w:space="0"/>
              </w:rPr>
              <w:t>6（女）</w:t>
            </w:r>
          </w:p>
        </w:tc>
        <w:tc>
          <w:tcPr>
            <w:tcW w:w="79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31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232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c>
          <w:tcPr>
            <w:tcW w:w="3615" w:type="dxa"/>
            <w:vMerge w:val="continue"/>
            <w:tcBorders>
              <w:top w:val="nil"/>
              <w:left w:val="nil"/>
              <w:bottom w:val="nil"/>
              <w:right w:val="single" w:color="000000" w:sz="6" w:space="0"/>
            </w:tcBorders>
            <w:shd w:val="clear" w:color="auto" w:fill="FFFFFF"/>
            <w:vAlign w:val="center"/>
          </w:tcPr>
          <w:p>
            <w:pPr>
              <w:rPr>
                <w:rFonts w:hint="eastAsia" w:ascii="宋体" w:hAnsi="宋体" w:eastAsia="宋体" w:cs="宋体"/>
                <w:i w:val="0"/>
                <w:iCs w:val="0"/>
                <w:caps w:val="0"/>
                <w:color w:val="666666"/>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bdr w:val="none" w:color="auto" w:sz="0" w:space="0"/>
          <w:shd w:val="clear" w:fill="FFFFFF"/>
        </w:rPr>
        <w:t>　　名额分配依据：西昌学院各二级学院相关专业生师比状况。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sz w:val="21"/>
          <w:szCs w:val="21"/>
          <w:bdr w:val="none" w:color="auto" w:sz="0" w:space="0"/>
          <w:shd w:val="clear" w:fill="FFFFFF"/>
        </w:rPr>
        <w:t>　　注：报考者本人有效学位证所载学位应与拟报考岗位的“学位”资格要求相符；报考者本人有效的毕业证所载学历和专业名称，应与拟报考岗位的“学历”和“专业条件要求”两栏分别相符。</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F4050"/>
    <w:rsid w:val="295F4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2021-04-29T04:06:00Z</dcterms:created>
  <dc:creator>Administrator</dc:creator>
  <cp:lastModifiedBy>Administrator</cp:lastModifiedBy>
  <dcterms:modified xsi:type="dcterms:W3CDTF">2021-04-29T04:06:45Z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551D6FDE96E34791A6D2A5335F7D47F3</vt:lpwstr>
  </property>
</Properties>
</file>