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附件二：</w:t>
      </w:r>
    </w:p>
    <w:p>
      <w:pPr>
        <w:widowControl/>
        <w:jc w:val="center"/>
        <w:rPr>
          <w:rFonts w:hint="eastAsia" w:ascii="仿宋_GB2312" w:hAnsi="仿宋_GB2312" w:eastAsia="仿宋_GB2312" w:cs="仿宋_GB2312"/>
          <w:b/>
          <w:bCs/>
          <w:kern w:val="0"/>
          <w:sz w:val="32"/>
          <w:szCs w:val="32"/>
        </w:rPr>
      </w:pPr>
      <w:bookmarkStart w:id="0" w:name="_GoBack"/>
      <w:r>
        <w:rPr>
          <w:rFonts w:hint="eastAsia" w:ascii="仿宋_GB2312" w:hAnsi="仿宋_GB2312" w:eastAsia="仿宋_GB2312" w:cs="仿宋_GB2312"/>
          <w:b/>
          <w:bCs/>
          <w:kern w:val="0"/>
          <w:sz w:val="32"/>
          <w:szCs w:val="32"/>
        </w:rPr>
        <w:t>教师资格认定申请人必读</w:t>
      </w:r>
    </w:p>
    <w:bookmarkEnd w:id="0"/>
    <w:p>
      <w:pPr>
        <w:widowControl/>
        <w:jc w:val="center"/>
        <w:rPr>
          <w:rFonts w:hint="eastAsia" w:ascii="仿宋_GB2312" w:hAnsi="仿宋_GB2312" w:eastAsia="仿宋_GB2312" w:cs="仿宋_GB2312"/>
          <w:b/>
          <w:bCs/>
          <w:kern w:val="0"/>
          <w:sz w:val="32"/>
          <w:szCs w:val="32"/>
        </w:rPr>
      </w:pPr>
    </w:p>
    <w:p>
      <w:pPr>
        <w:widowControl/>
        <w:spacing w:line="4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中华人民共和国教师法》、《教师资格条例》、《&lt;教师资格条例&gt;实施办法》等有关规定，中国公民凡遵守宪法和法律，热爱教育事业，具有良好的思想品德，具备规定的学历，教师资格考试合格，有教育教学能力，经认定合格的，可以取得教师资格。</w:t>
      </w:r>
    </w:p>
    <w:p>
      <w:pPr>
        <w:widowControl/>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申请认定教师资格需要准备或提交以下材料</w:t>
      </w:r>
    </w:p>
    <w:p>
      <w:pPr>
        <w:widowControl/>
        <w:spacing w:line="4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1.有效身份证件（如身份证、户口簿、居住证、港澳台居民居住证、港澳居民来往内地通行证、 五年有效期台湾居民来往大陆通行证等）</w:t>
      </w:r>
    </w:p>
    <w:p>
      <w:pPr>
        <w:widowControl/>
        <w:spacing w:line="4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2.学历证书（应届毕业生请准备</w:t>
      </w:r>
      <w:r>
        <w:rPr>
          <w:rFonts w:hint="eastAsia" w:ascii="仿宋_GB2312" w:hAnsi="仿宋_GB2312" w:eastAsia="仿宋_GB2312" w:cs="仿宋_GB2312"/>
          <w:kern w:val="0"/>
          <w:sz w:val="32"/>
          <w:szCs w:val="32"/>
          <w:lang w:eastAsia="zh-CN"/>
        </w:rPr>
        <w:t>加盖公章的</w:t>
      </w:r>
      <w:r>
        <w:rPr>
          <w:rFonts w:hint="eastAsia" w:ascii="仿宋_GB2312" w:hAnsi="仿宋_GB2312" w:eastAsia="仿宋_GB2312" w:cs="仿宋_GB2312"/>
          <w:kern w:val="0"/>
          <w:sz w:val="32"/>
          <w:szCs w:val="32"/>
        </w:rPr>
        <w:t>学业成绩单)</w:t>
      </w:r>
    </w:p>
    <w:p>
      <w:pPr>
        <w:widowControl/>
        <w:spacing w:line="4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3.教师资格考试合格证明（各省份中小学教师资格考试改革试点前入学的符合直接认定条件的全日制师范生和全日制教育硕士不提供此项证明）</w:t>
      </w:r>
    </w:p>
    <w:p>
      <w:pPr>
        <w:widowControl/>
        <w:spacing w:line="4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4.普通话水平测试等级证书</w:t>
      </w:r>
    </w:p>
    <w:p>
      <w:pPr>
        <w:widowControl/>
        <w:spacing w:line="4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5.教师资格认定体检表</w:t>
      </w:r>
    </w:p>
    <w:p>
      <w:pPr>
        <w:widowControl/>
        <w:spacing w:line="4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6.近期本人1寸免冠正面证件照（须与系统中上传的电子照片为同一底版）</w:t>
      </w:r>
    </w:p>
    <w:p>
      <w:pPr>
        <w:widowControl/>
        <w:spacing w:line="4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网上申报时认定系统对学历、考试、普通话等信息验证通过的，现场确认时则无需再出示相关证件原件。体检表需按本省份或认定机构的通知要求提交。</w:t>
      </w:r>
    </w:p>
    <w:p>
      <w:pPr>
        <w:widowControl/>
        <w:spacing w:line="4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具体需要出示或提交的材料请以认定机构的公告为准。</w:t>
      </w:r>
    </w:p>
    <w:p>
      <w:pPr>
        <w:widowControl/>
        <w:spacing w:line="4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在教师资格认定报名开始前，您可以在 “个人信息中心” 页面下，完成普通话水平测试等级证书信息、学历证书信息、学位证书信息的核验或补充， 请下载《个人承诺书》并按照个人承诺书中的说明进行操作，待报名时使用。 </w:t>
      </w:r>
    </w:p>
    <w:p>
      <w:pPr>
        <w:widowControl/>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温馨提示  </w:t>
      </w:r>
    </w:p>
    <w:p>
      <w:pPr>
        <w:widowControl/>
        <w:spacing w:line="4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一、申请人学历、学籍信息核验结果是以全国高等学校学生信息咨询与就业指导中心（学信网）信息管理系统查询结果作为参考依据，其中无法核验的情况如下：</w:t>
      </w:r>
    </w:p>
    <w:p>
      <w:pPr>
        <w:widowControl/>
        <w:spacing w:line="4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1.申请人身份信息发生变更，但学历、学籍信息库未更新。</w:t>
      </w:r>
    </w:p>
    <w:p>
      <w:pPr>
        <w:widowControl/>
        <w:spacing w:line="4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2.学历、学籍信息库中没有申请人信息。</w:t>
      </w:r>
    </w:p>
    <w:p>
      <w:pPr>
        <w:widowControl/>
        <w:spacing w:line="4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3.学历、学籍信息库更新滞后。</w:t>
      </w:r>
    </w:p>
    <w:p>
      <w:pPr>
        <w:widowControl/>
        <w:spacing w:line="4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4.中等职业学校毕业生学历、学籍信息。</w:t>
      </w:r>
    </w:p>
    <w:p>
      <w:pPr>
        <w:widowControl/>
        <w:spacing w:line="4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二、申请人普通话水平测试等级证书信息核验结果是以国家普通话水平测试信息管理系统查询结果作为参考依据，其中无法核验的情况如下：</w:t>
      </w:r>
    </w:p>
    <w:p>
      <w:pPr>
        <w:widowControl/>
        <w:spacing w:line="4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1.申请人身份信息发生变更，但普通话信息库未更新。</w:t>
      </w:r>
    </w:p>
    <w:p>
      <w:pPr>
        <w:widowControl/>
        <w:spacing w:line="4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2.普通话信息库中没有申请人信息。</w:t>
      </w:r>
    </w:p>
    <w:p>
      <w:pPr>
        <w:widowControl/>
        <w:spacing w:line="4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3.普通话信息库更新滞后。</w:t>
      </w:r>
    </w:p>
    <w:p>
      <w:pPr>
        <w:widowControl/>
        <w:spacing w:line="4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凡核验不成功的申请人，请在网上报名时，根据要求上传有关证件的电子扫描件，并在现场确认环节出示有关证件的原件。</w:t>
      </w:r>
    </w:p>
    <w:p>
      <w:pPr>
        <w:widowControl/>
        <w:jc w:val="left"/>
        <w:rPr>
          <w:rFonts w:hint="eastAsia" w:ascii="黑体" w:hAnsi="黑体" w:eastAsia="黑体" w:cs="宋体"/>
          <w:kern w:val="0"/>
          <w:sz w:val="30"/>
          <w:szCs w:val="30"/>
        </w:rPr>
      </w:pPr>
    </w:p>
    <w:p>
      <w:pPr>
        <w:widowControl/>
        <w:jc w:val="left"/>
        <w:rPr>
          <w:rFonts w:hint="eastAsia" w:ascii="黑体" w:hAnsi="黑体" w:eastAsia="黑体" w:cs="宋体"/>
          <w:kern w:val="0"/>
          <w:sz w:val="30"/>
          <w:szCs w:val="30"/>
        </w:rPr>
      </w:pPr>
    </w:p>
    <w:p>
      <w:pPr>
        <w:widowControl/>
        <w:jc w:val="left"/>
        <w:rPr>
          <w:rFonts w:hint="eastAsia" w:ascii="黑体" w:hAnsi="黑体" w:eastAsia="黑体" w:cs="宋体"/>
          <w:kern w:val="0"/>
          <w:sz w:val="30"/>
          <w:szCs w:val="30"/>
        </w:rPr>
      </w:pPr>
    </w:p>
    <w:p>
      <w:pPr>
        <w:widowControl/>
        <w:jc w:val="left"/>
        <w:rPr>
          <w:rFonts w:hint="eastAsia" w:ascii="黑体" w:hAnsi="黑体" w:eastAsia="黑体" w:cs="宋体"/>
          <w:kern w:val="0"/>
          <w:sz w:val="30"/>
          <w:szCs w:val="30"/>
        </w:rPr>
      </w:pPr>
    </w:p>
    <w:p>
      <w:pPr>
        <w:widowControl/>
        <w:jc w:val="left"/>
        <w:rPr>
          <w:rFonts w:hint="eastAsia" w:ascii="黑体" w:hAnsi="黑体" w:eastAsia="黑体" w:cs="宋体"/>
          <w:kern w:val="0"/>
          <w:sz w:val="30"/>
          <w:szCs w:val="30"/>
        </w:rPr>
      </w:pPr>
    </w:p>
    <w:p>
      <w:pPr>
        <w:widowControl/>
        <w:jc w:val="left"/>
        <w:rPr>
          <w:rFonts w:hint="eastAsia" w:ascii="黑体" w:hAnsi="黑体" w:eastAsia="黑体" w:cs="宋体"/>
          <w:kern w:val="0"/>
          <w:sz w:val="30"/>
          <w:szCs w:val="30"/>
        </w:rPr>
      </w:pPr>
    </w:p>
    <w:p>
      <w:pPr>
        <w:widowControl/>
        <w:jc w:val="left"/>
        <w:rPr>
          <w:rFonts w:hint="eastAsia" w:ascii="黑体" w:hAnsi="黑体" w:eastAsia="黑体" w:cs="宋体"/>
          <w:kern w:val="0"/>
          <w:sz w:val="30"/>
          <w:szCs w:val="30"/>
        </w:rPr>
      </w:pPr>
    </w:p>
    <w:p>
      <w:pPr>
        <w:widowControl/>
        <w:jc w:val="left"/>
        <w:rPr>
          <w:rFonts w:hint="eastAsia" w:ascii="黑体" w:hAnsi="黑体" w:eastAsia="黑体" w:cs="宋体"/>
          <w:kern w:val="0"/>
          <w:sz w:val="30"/>
          <w:szCs w:val="30"/>
        </w:rPr>
      </w:pPr>
    </w:p>
    <w:p>
      <w:pPr>
        <w:widowControl/>
        <w:jc w:val="left"/>
        <w:rPr>
          <w:rFonts w:hint="eastAsia" w:ascii="黑体" w:hAnsi="黑体" w:eastAsia="黑体" w:cs="宋体"/>
          <w:kern w:val="0"/>
          <w:sz w:val="30"/>
          <w:szCs w:val="30"/>
        </w:rPr>
      </w:pPr>
    </w:p>
    <w:p>
      <w:pPr>
        <w:widowControl/>
        <w:jc w:val="left"/>
        <w:rPr>
          <w:rFonts w:hint="eastAsia" w:ascii="黑体" w:hAnsi="黑体" w:eastAsia="黑体" w:cs="宋体"/>
          <w:kern w:val="0"/>
          <w:sz w:val="30"/>
          <w:szCs w:val="30"/>
        </w:rPr>
      </w:pPr>
    </w:p>
    <w:p>
      <w:pPr>
        <w:widowControl/>
        <w:jc w:val="left"/>
        <w:rPr>
          <w:rFonts w:hint="eastAsia" w:ascii="黑体" w:hAnsi="黑体" w:eastAsia="黑体" w:cs="宋体"/>
          <w:kern w:val="0"/>
          <w:sz w:val="30"/>
          <w:szCs w:val="30"/>
        </w:rPr>
      </w:pPr>
    </w:p>
    <w:p>
      <w:pPr>
        <w:widowControl/>
        <w:jc w:val="left"/>
        <w:rPr>
          <w:rFonts w:hint="eastAsia" w:ascii="黑体" w:hAnsi="黑体" w:eastAsia="黑体" w:cs="宋体"/>
          <w:kern w:val="0"/>
          <w:sz w:val="30"/>
          <w:szCs w:val="30"/>
        </w:rPr>
      </w:pPr>
    </w:p>
    <w:p>
      <w:pPr>
        <w:widowControl/>
        <w:jc w:val="left"/>
        <w:rPr>
          <w:rFonts w:hint="eastAsia" w:ascii="黑体" w:hAnsi="黑体" w:eastAsia="黑体" w:cs="宋体"/>
          <w:kern w:val="0"/>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6338F"/>
    <w:rsid w:val="2CE63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2021-04-09T07:09:00Z</dcterms:created>
  <dc:creator>lance</dc:creator>
  <cp:lastModifiedBy>lance</cp:lastModifiedBy>
  <dcterms:modified xsi:type="dcterms:W3CDTF">2021-04-09T07:10:14Z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