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>
      <w:pPr>
        <w:spacing w:line="6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简阳市空天产业功能区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管理委员会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2021年公开招聘员额内编外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聘用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人员岗位表</w:t>
      </w:r>
    </w:p>
    <w:tbl>
      <w:tblPr>
        <w:tblStyle w:val="2"/>
        <w:tblW w:w="15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17"/>
        <w:gridCol w:w="798"/>
        <w:gridCol w:w="988"/>
        <w:gridCol w:w="797"/>
        <w:gridCol w:w="4747"/>
        <w:gridCol w:w="678"/>
        <w:gridCol w:w="1960"/>
        <w:gridCol w:w="2920"/>
        <w:gridCol w:w="81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招聘单位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招聘名额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代码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岗位名称</w:t>
            </w:r>
          </w:p>
        </w:tc>
        <w:tc>
          <w:tcPr>
            <w:tcW w:w="474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岗位简介</w:t>
            </w:r>
          </w:p>
        </w:tc>
        <w:tc>
          <w:tcPr>
            <w:tcW w:w="6374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招聘岗位应聘资格条件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474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招聘</w:t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范围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学历专业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黑体" w:cs="Times New Roman"/>
                <w:color w:val="auto"/>
                <w:kern w:val="0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</w:rPr>
              <w:t>年龄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黑体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简阳市空天产业功用区管理委员会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-01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规划建设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进行工程信息分析与处理，研究成本工期、施工管理、功能区总规、产规、控规和城市设计的编制及实施等、配合规划设计单位优化方案设计、对项目进行综合、整体控制管理各阶段的设计文件及相关进度等工作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建筑学类、土木工程类、城乡规划学类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2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</w:rPr>
              <w:t>6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-02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产业发展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主要从事智能制造装备、航空航天装备产业的招商引资工作。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机械制造及自动化、机械电子工程、机械设计及理论、车辆工程、飞行器设计、航空宇航推进理论与工程、航空宇航制造工程、人机与环境工程、控制理论与控制工程、检测技术与自动化装置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-03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产业发展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主要从事产业研究、项目招引（含二次招商）等全生命周期跟踪服务和“两图一表”编制及实施等工作。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区域经济学、统计学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4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简阳市空天产业功用区管理委员会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-04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企业服务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主要从事项目前期手续、项目包装申报、项目落地、企业施工报建、竣工验收、固定资产投资、统计及经济运行等管理服务工作信访维稳、企业改制、企业优惠政策兑现、企业“承诺制”等工作。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企业管理、技术经济及管理、土地资源管理、社会保障、计算机应用技术、计算机软件与理论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5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-05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运营管理</w:t>
            </w:r>
          </w:p>
        </w:tc>
        <w:tc>
          <w:tcPr>
            <w:tcW w:w="4747" w:type="dxa"/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主要从事统筹协调功能区经济发展、研究分析宏观经济形势、研究制定区域合作交流、协调发展和产业集群的政策措施等工作。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区域经济学、产业经济学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6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-06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运营管理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主要从事功能区内企业的融资、运营、管理和引导、财务管理、固定资产管理和政府采购等工作。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财政学、金融学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7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-07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安全环保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主要从事功能区内企业的安全生产日常管理、协助配合各级部门的安全生产监督检查等工作。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安全科学与工程类、食品科学与工程类、管理科学与工程类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8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-08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安全环保</w:t>
            </w:r>
          </w:p>
        </w:tc>
        <w:tc>
          <w:tcPr>
            <w:tcW w:w="474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主要从事功能区内企业的环境保护日常管理、协助配合各级部门的环境保护监督检查等工作。</w:t>
            </w:r>
          </w:p>
        </w:tc>
        <w:tc>
          <w:tcPr>
            <w:tcW w:w="67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全国</w:t>
            </w:r>
          </w:p>
        </w:tc>
        <w:tc>
          <w:tcPr>
            <w:tcW w:w="196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普通高等院校全日制硕士研究生及以上学历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环境科学、环境工程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35周岁及以下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</w:rPr>
              <w:t>　</w:t>
            </w:r>
          </w:p>
        </w:tc>
      </w:tr>
    </w:tbl>
    <w:p>
      <w:pPr>
        <w:widowControl/>
        <w:ind w:firstLine="420" w:firstLineChars="200"/>
        <w:jc w:val="left"/>
        <w:rPr>
          <w:rFonts w:ascii="Times New Roman" w:hAnsi="Times New Roman" w:eastAsia="仿宋_GB2312" w:cs="Times New Roman"/>
          <w:color w:val="auto"/>
          <w:kern w:val="0"/>
        </w:rPr>
      </w:pPr>
      <w:r>
        <w:rPr>
          <w:rFonts w:ascii="Times New Roman" w:hAnsi="Times New Roman" w:eastAsia="仿宋_GB2312" w:cs="Times New Roman"/>
          <w:color w:val="auto"/>
          <w:kern w:val="0"/>
        </w:rPr>
        <w:t>注：1.关于2017年后全日制研究生的界定：自2017年起，全日制和非全日制研究生由国家统一下达招生计划，考试招生执行相同的政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 w:cs="Times New Roman"/>
          <w:color w:val="auto"/>
          <w:kern w:val="0"/>
        </w:rPr>
        <w:t>策和标准，培养质量坚持统一要求，学历学位证书具有同等法律地位和相同效力。</w:t>
      </w:r>
      <w:r>
        <w:rPr>
          <w:rFonts w:ascii="Times New Roman" w:hAnsi="Times New Roman" w:eastAsia="仿宋_GB2312" w:cs="Times New Roman"/>
          <w:color w:val="auto"/>
          <w:kern w:val="0"/>
        </w:rPr>
        <w:br w:type="textWrapping"/>
      </w:r>
      <w:r>
        <w:rPr>
          <w:rFonts w:ascii="Times New Roman" w:hAnsi="Times New Roman" w:eastAsia="仿宋_GB2312" w:cs="Times New Roman"/>
          <w:color w:val="auto"/>
          <w:kern w:val="0"/>
        </w:rPr>
        <w:t xml:space="preserve">        2.薪酬：</w:t>
      </w:r>
      <w:r>
        <w:rPr>
          <w:rFonts w:hint="eastAsia" w:ascii="Times New Roman" w:hAnsi="Times New Roman" w:eastAsia="仿宋_GB2312" w:cs="Times New Roman"/>
          <w:color w:val="auto"/>
          <w:kern w:val="0"/>
          <w:lang w:eastAsia="zh-CN"/>
        </w:rPr>
        <w:t>约</w:t>
      </w:r>
      <w:r>
        <w:rPr>
          <w:rFonts w:hint="eastAsia" w:ascii="Times New Roman" w:hAnsi="Times New Roman" w:eastAsia="仿宋_GB2312" w:cs="Times New Roman"/>
          <w:b/>
          <w:color w:val="auto"/>
          <w:kern w:val="0"/>
        </w:rPr>
        <w:t>15万元</w:t>
      </w:r>
      <w:r>
        <w:rPr>
          <w:rFonts w:hint="eastAsia" w:ascii="Times New Roman" w:hAnsi="Times New Roman" w:eastAsia="仿宋_GB2312" w:cs="Times New Roman"/>
          <w:color w:val="auto"/>
          <w:kern w:val="0"/>
        </w:rPr>
        <w:t>/年</w:t>
      </w:r>
      <w:r>
        <w:rPr>
          <w:rFonts w:hint="eastAsia" w:ascii="Times New Roman" w:hAnsi="Times New Roman" w:eastAsia="仿宋_GB2312" w:cs="Times New Roman"/>
          <w:b/>
          <w:color w:val="auto"/>
          <w:kern w:val="0"/>
        </w:rPr>
        <w:t>（</w:t>
      </w:r>
      <w:r>
        <w:rPr>
          <w:rFonts w:hint="eastAsia" w:ascii="Times New Roman" w:hAnsi="Times New Roman" w:eastAsia="仿宋_GB2312" w:cs="Times New Roman"/>
          <w:b/>
          <w:color w:val="auto"/>
        </w:rPr>
        <w:t>不含单位缴纳的“五险一金”、差旅、通讯补助及我市人才引进政策规定的安家补贴、人才津贴等费用</w:t>
      </w:r>
      <w:r>
        <w:rPr>
          <w:rFonts w:hint="eastAsia" w:ascii="Times New Roman" w:hAnsi="Times New Roman" w:eastAsia="仿宋_GB2312" w:cs="Times New Roman"/>
          <w:b/>
          <w:color w:val="auto"/>
          <w:kern w:val="0"/>
        </w:rPr>
        <w:t>）。</w:t>
      </w:r>
      <w:r>
        <w:rPr>
          <w:rFonts w:ascii="Times New Roman" w:hAnsi="Times New Roman" w:eastAsia="仿宋_GB2312" w:cs="Times New Roman"/>
          <w:kern w:val="0"/>
        </w:rPr>
        <w:br w:type="textWrapping"/>
      </w:r>
    </w:p>
    <w:bookmarkEnd w:id="0"/>
    <w:sectPr>
      <w:pgSz w:w="16838" w:h="11906" w:orient="landscape"/>
      <w:pgMar w:top="1474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FBA"/>
    <w:rsid w:val="0015452F"/>
    <w:rsid w:val="00561FBA"/>
    <w:rsid w:val="009D1DCA"/>
    <w:rsid w:val="042D232D"/>
    <w:rsid w:val="059B00A7"/>
    <w:rsid w:val="13C47C54"/>
    <w:rsid w:val="447C1B1D"/>
    <w:rsid w:val="499A0A66"/>
    <w:rsid w:val="56B66169"/>
    <w:rsid w:val="656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203</Words>
  <Characters>1160</Characters>
  <Lines>9</Lines>
  <Paragraphs>2</Paragraphs>
  <TotalTime>2</TotalTime>
  <ScaleCrop>false</ScaleCrop>
  <LinksUpToDate>false</LinksUpToDate>
  <CharactersWithSpaces>1361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2020-12-11T01:06:00Z</dcterms:created>
  <dc:creator>PC</dc:creator>
  <cp:lastModifiedBy>Administrator</cp:lastModifiedBy>
  <cp:lastPrinted>2021-03-01T03:00:02Z</cp:lastPrinted>
  <dcterms:modified xsi:type="dcterms:W3CDTF">2021-03-01T03:07:23Z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