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渝北区双龙湖社区卫生服务中心公开招聘临时工作人员岗位情况一览表</w:t>
      </w:r>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260"/>
        <w:gridCol w:w="1620"/>
        <w:gridCol w:w="1980"/>
        <w:gridCol w:w="1260"/>
        <w:gridCol w:w="2340"/>
        <w:gridCol w:w="27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26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26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8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126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27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护理</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2</w:t>
            </w: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大专及以上</w:t>
            </w:r>
          </w:p>
        </w:tc>
        <w:tc>
          <w:tcPr>
            <w:tcW w:w="198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护理学类</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w w:val="90"/>
                <w:sz w:val="24"/>
                <w:szCs w:val="24"/>
              </w:rPr>
              <w:t>30周岁及以内</w:t>
            </w:r>
          </w:p>
        </w:tc>
        <w:tc>
          <w:tcPr>
            <w:tcW w:w="270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w w:val="90"/>
                <w:sz w:val="24"/>
                <w:szCs w:val="24"/>
              </w:rPr>
              <w:t>具有护士执业资格</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2</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内科</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本科及以上</w:t>
            </w:r>
          </w:p>
        </w:tc>
        <w:tc>
          <w:tcPr>
            <w:tcW w:w="198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临床医学、内科学</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w w:val="90"/>
                <w:sz w:val="24"/>
                <w:szCs w:val="24"/>
              </w:rPr>
              <w:t>30周岁及以内，主治医师及以上年龄可放宽至35周岁</w:t>
            </w:r>
          </w:p>
        </w:tc>
        <w:tc>
          <w:tcPr>
            <w:tcW w:w="270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具有相应执业助理医师资格及以上</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3</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药剂科</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62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大专及以上</w:t>
            </w:r>
          </w:p>
        </w:tc>
        <w:tc>
          <w:tcPr>
            <w:tcW w:w="198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药学、中药、中药学</w:t>
            </w:r>
          </w:p>
        </w:tc>
        <w:tc>
          <w:tcPr>
            <w:tcW w:w="1260" w:type="dxa"/>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30周岁及以内</w:t>
            </w:r>
          </w:p>
        </w:tc>
        <w:tc>
          <w:tcPr>
            <w:tcW w:w="2700" w:type="dxa"/>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具有相应初级及以上职称</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28"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4</w:t>
            </w: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放射科</w:t>
            </w: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1</w:t>
            </w:r>
          </w:p>
        </w:tc>
        <w:tc>
          <w:tcPr>
            <w:tcW w:w="162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本科及以上</w:t>
            </w:r>
          </w:p>
        </w:tc>
        <w:tc>
          <w:tcPr>
            <w:tcW w:w="1980" w:type="dxa"/>
            <w:tcBorders>
              <w:bottom w:val="single" w:color="auto" w:sz="4" w:space="0"/>
            </w:tcBorders>
            <w:noWrap w:val="0"/>
            <w:vAlign w:val="center"/>
          </w:tcPr>
          <w:p>
            <w:pPr>
              <w:adjustRightInd w:val="0"/>
              <w:snapToGrid w:val="0"/>
              <w:spacing w:line="300" w:lineRule="auto"/>
              <w:rPr>
                <w:rFonts w:hint="eastAsia" w:ascii="仿宋_GB2312" w:eastAsia="仿宋_GB2312"/>
                <w:kern w:val="0"/>
                <w:sz w:val="24"/>
                <w:szCs w:val="24"/>
              </w:rPr>
            </w:pPr>
            <w:r>
              <w:rPr>
                <w:rFonts w:hint="eastAsia" w:ascii="仿宋_GB2312" w:eastAsia="仿宋_GB2312"/>
                <w:kern w:val="0"/>
                <w:sz w:val="24"/>
                <w:szCs w:val="24"/>
              </w:rPr>
              <w:t>医学影像、医学影像学、放射医学、影像医学与核医学</w:t>
            </w:r>
          </w:p>
        </w:tc>
        <w:tc>
          <w:tcPr>
            <w:tcW w:w="1260" w:type="dxa"/>
            <w:tcBorders>
              <w:bottom w:val="single" w:color="auto" w:sz="4" w:space="0"/>
            </w:tcBorders>
            <w:noWrap w:val="0"/>
            <w:vAlign w:val="center"/>
          </w:tcPr>
          <w:p>
            <w:pPr>
              <w:adjustRightInd w:val="0"/>
              <w:snapToGrid w:val="0"/>
              <w:spacing w:line="300" w:lineRule="auto"/>
              <w:jc w:val="center"/>
              <w:rPr>
                <w:rFonts w:hint="eastAsia" w:ascii="仿宋_GB2312" w:eastAsia="仿宋_GB2312"/>
                <w:w w:val="90"/>
                <w:sz w:val="24"/>
                <w:szCs w:val="24"/>
              </w:rPr>
            </w:pPr>
            <w:r>
              <w:rPr>
                <w:rFonts w:hint="eastAsia" w:ascii="仿宋_GB2312" w:eastAsia="仿宋_GB2312"/>
                <w:w w:val="90"/>
                <w:sz w:val="24"/>
                <w:szCs w:val="24"/>
              </w:rPr>
              <w:t>不限</w:t>
            </w:r>
          </w:p>
        </w:tc>
        <w:tc>
          <w:tcPr>
            <w:tcW w:w="234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30周岁及以内</w:t>
            </w:r>
          </w:p>
        </w:tc>
        <w:tc>
          <w:tcPr>
            <w:tcW w:w="2700" w:type="dxa"/>
            <w:tcBorders>
              <w:bottom w:val="single" w:color="auto" w:sz="4" w:space="0"/>
            </w:tcBorders>
            <w:noWrap w:val="0"/>
            <w:vAlign w:val="center"/>
          </w:tcPr>
          <w:p>
            <w:pPr>
              <w:adjustRightInd w:val="0"/>
              <w:snapToGrid w:val="0"/>
              <w:spacing w:line="300" w:lineRule="auto"/>
              <w:rPr>
                <w:rFonts w:hint="eastAsia" w:ascii="仿宋_GB2312" w:eastAsia="仿宋_GB2312"/>
                <w:w w:val="90"/>
                <w:sz w:val="24"/>
                <w:szCs w:val="24"/>
              </w:rPr>
            </w:pPr>
            <w:r>
              <w:rPr>
                <w:rFonts w:hint="eastAsia" w:ascii="仿宋_GB2312" w:eastAsia="仿宋_GB2312"/>
                <w:kern w:val="0"/>
                <w:sz w:val="24"/>
                <w:szCs w:val="24"/>
              </w:rPr>
              <w:t>具有相应执业助理医师资格及以上</w:t>
            </w:r>
          </w:p>
        </w:tc>
        <w:tc>
          <w:tcPr>
            <w:tcW w:w="1080" w:type="dxa"/>
            <w:tcBorders>
              <w:bottom w:val="single" w:color="auto" w:sz="4" w:space="0"/>
            </w:tcBorders>
            <w:noWrap w:val="0"/>
            <w:vAlign w:val="center"/>
          </w:tcPr>
          <w:p>
            <w:pPr>
              <w:spacing w:line="570" w:lineRule="exact"/>
              <w:jc w:val="center"/>
              <w:rPr>
                <w:rFonts w:ascii="方正仿宋_GBK" w:eastAsia="方正仿宋_GBK"/>
                <w:w w:val="90"/>
                <w:sz w:val="28"/>
                <w:szCs w:val="28"/>
              </w:rPr>
            </w:pPr>
          </w:p>
        </w:tc>
      </w:tr>
    </w:tbl>
    <w:p>
      <w:pPr>
        <w:spacing w:line="570" w:lineRule="exact"/>
        <w:rPr>
          <w:rFonts w:hint="eastAsia" w:ascii="方正仿宋_GBK" w:eastAsia="方正仿宋_GBK"/>
          <w:w w:val="90"/>
          <w:sz w:val="30"/>
          <w:szCs w:val="30"/>
        </w:rPr>
      </w:pPr>
      <w:r>
        <w:rPr>
          <w:rFonts w:hint="eastAsia" w:ascii="方正仿宋_GBK" w:eastAsia="方正仿宋_GBK"/>
          <w:w w:val="90"/>
          <w:sz w:val="30"/>
          <w:szCs w:val="30"/>
        </w:rPr>
        <w:t>联系电话：023-67808102</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D3F6B"/>
    <w:rsid w:val="1E5D3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2020-11-30T04:34:00Z</dcterms:created>
  <dc:creator>23</dc:creator>
  <cp:lastModifiedBy>23</cp:lastModifiedBy>
  <dcterms:modified xsi:type="dcterms:W3CDTF">2020-11-30T04:35:08Z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