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2024年度成都市教育局所属事业单位公开招聘13名高层次人才岗位需求表</w:t>
      </w:r>
    </w:p>
    <w:bookmarkEnd w:id="0"/>
    <w:tbl>
      <w:tblPr>
        <w:tblW w:w="48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΢���ź�" w:hAnsi="΢���ź�" w:eastAsia="΢���ź�" w:cs="΢���ź�"/>
                <w:color w:val="62606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997" w:type="dxa"/>
        <w:tblCellSpacing w:w="0" w:type="dxa"/>
        <w:tblInd w:w="15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341"/>
        <w:gridCol w:w="3368"/>
        <w:gridCol w:w="283"/>
        <w:gridCol w:w="283"/>
        <w:gridCol w:w="283"/>
        <w:gridCol w:w="283"/>
        <w:gridCol w:w="1472"/>
        <w:gridCol w:w="1015"/>
        <w:gridCol w:w="592"/>
        <w:gridCol w:w="2117"/>
        <w:gridCol w:w="284"/>
        <w:gridCol w:w="2195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43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16" w:lineRule="atLeas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招 聘 单 位</w:t>
            </w:r>
          </w:p>
        </w:tc>
        <w:tc>
          <w:tcPr>
            <w:tcW w:w="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40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16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应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    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聘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    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资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    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格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    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条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    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件</w:t>
            </w:r>
          </w:p>
        </w:tc>
        <w:tc>
          <w:tcPr>
            <w:tcW w:w="2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招聘方式及时间安排</w:t>
            </w:r>
          </w:p>
        </w:tc>
        <w:tc>
          <w:tcPr>
            <w:tcW w:w="17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考生简历投递方式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3" w:hRule="atLeast"/>
          <w:tblCellSpacing w:w="0" w:type="dxa"/>
        </w:trPr>
        <w:tc>
          <w:tcPr>
            <w:tcW w:w="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学校名称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报名咨询电话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公告发布及查看途径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招聘总数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名 称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招聘人数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专 业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职称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2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  <w14:ligatures w14:val="standardContextual"/>
              </w:rPr>
              <w:t>其它</w:t>
            </w:r>
          </w:p>
        </w:tc>
        <w:tc>
          <w:tcPr>
            <w:tcW w:w="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9" w:hRule="atLeast"/>
          <w:tblCellSpacing w:w="0" w:type="dxa"/>
        </w:trPr>
        <w:tc>
          <w:tcPr>
            <w:tcW w:w="3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成都市教育科学研究院（公益一类事业单位）</w:t>
            </w:r>
          </w:p>
        </w:tc>
        <w:tc>
          <w:tcPr>
            <w:tcW w:w="10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028-60726125</w:t>
            </w:r>
          </w:p>
        </w:tc>
        <w:tc>
          <w:tcPr>
            <w:tcW w:w="26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1.成都市教育局官网http://edu.chengdu.gov.cn/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2.成都市教育科学研究院官网http://www.cdjky.com/index.html</w:t>
            </w:r>
          </w:p>
        </w:tc>
        <w:tc>
          <w:tcPr>
            <w:tcW w:w="2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教研员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心理学、化学、生物学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博士研究生，取得相应学历学位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1.1989年1月1日及以后出生；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2.具有高级中学教师资格证；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3.近五年（2019年1月1日及以后），主持或参与国家级课题至少2项，并以第一作者身份发表SCI文章至少2篇；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4.至少满足以下条件之一：1）具有学科竞赛经历；2）具有省级及以上荣誉或获奖经历。</w:t>
            </w:r>
          </w:p>
        </w:tc>
        <w:tc>
          <w:tcPr>
            <w:tcW w:w="2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考核招聘</w:t>
            </w:r>
          </w:p>
        </w:tc>
        <w:tc>
          <w:tcPr>
            <w:tcW w:w="17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网上投递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（简历投递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cdjky@qq.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com）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2" w:hRule="atLeast"/>
          <w:tblCellSpacing w:w="0" w:type="dxa"/>
        </w:trPr>
        <w:tc>
          <w:tcPr>
            <w:tcW w:w="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综合管理岗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教育学04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研究生学历，取得相应学历学位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1.博士研究生报考者，要求1989年1月1日及以后出生；硕士研究生报考者，要求1991年1月1日及以后出生；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2.硕士研究生报考者，须为留学回国人员，并取得教育部留学服务中心出具的国外（境外）学历、学位认证证书；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3.在大学或研究生就读期间获院系级及以上荣誉或奖励（含奖学金）；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4.近2年(2023年1月1日及以后）以来主持或参与本学科领域课题至少2项并以第一作者发表论文至少1篇；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5.具备教育教学工作的经历。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</w:p>
        </w:tc>
        <w:tc>
          <w:tcPr>
            <w:tcW w:w="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8" w:hRule="atLeast"/>
          <w:tblCellSpacing w:w="0" w:type="dxa"/>
        </w:trPr>
        <w:tc>
          <w:tcPr>
            <w:tcW w:w="3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成都市教育人才服务中心（公益一类事业单位）</w:t>
            </w:r>
          </w:p>
        </w:tc>
        <w:tc>
          <w:tcPr>
            <w:tcW w:w="10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028-86139324</w:t>
            </w:r>
          </w:p>
        </w:tc>
        <w:tc>
          <w:tcPr>
            <w:tcW w:w="26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1.成都市教育局官网http://edu.chengdu.gov.cn/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2.成都教育人才网https://www.cdjyrc.com/</w:t>
            </w:r>
          </w:p>
        </w:tc>
        <w:tc>
          <w:tcPr>
            <w:tcW w:w="2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综合管理岗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教育学0401、文学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研究生学历，取得相应学历学位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1.博士研究生报考者，要求1989年1月1日及以后出生；硕士研究生报考者，要求1991年1月1日及以后出生；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2.硕士研究生报考者，须为留学回国人员，并取得教育部留学服务中心出具的国外（境外）学历、学位认证证书；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3.硕士研究生报考者，本科专业需为中国语言文学、外国语言文学。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</w:p>
        </w:tc>
        <w:tc>
          <w:tcPr>
            <w:tcW w:w="2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考核招聘</w:t>
            </w:r>
          </w:p>
        </w:tc>
        <w:tc>
          <w:tcPr>
            <w:tcW w:w="17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网上投递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（简历投递邮箱：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491981885@q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q.com）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  <w:tblCellSpacing w:w="0" w:type="dxa"/>
        </w:trPr>
        <w:tc>
          <w:tcPr>
            <w:tcW w:w="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教育科研岗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教育学0401、文学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研究生学历，取得相应学历学位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博士研究生报考要求：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1.1989年1月1日及以后出生；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2.近五年(2019年1月1日及以后）主持或参与省级及以上课题并发表教育学术论文2篇及以上。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硕士研究生报考要求：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1.1991年1月1日及以后出生；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2.硕士研究生报考者，须为留学回国人员，并取得教育部留学服务中心出具的国外（境外）学历、学位认证证书；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3.近3年(2022年1月1日及以后）以来主持（参与）本学科（专业）领域课题至少1项；或发表教育学术论文至少1篇。</w:t>
            </w:r>
          </w:p>
        </w:tc>
        <w:tc>
          <w:tcPr>
            <w:tcW w:w="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tblCellSpacing w:w="0" w:type="dxa"/>
        </w:trPr>
        <w:tc>
          <w:tcPr>
            <w:tcW w:w="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教育对外交流岗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教育学0401、教育、文学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研究生学历，取得相应学历学位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1.博士研究生报考者，要求1989年1月1日及以后出生；硕士研究生报考者，要求1991年1月1日及以后出生；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2.硕士研究生报考者，须为留学回国人员，并取得教育部留学服务中心出具的国外（境外）学历、学位认证证书；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3.具有教育中外人文交流项目或国际教育合作工作经历。</w:t>
            </w:r>
          </w:p>
        </w:tc>
        <w:tc>
          <w:tcPr>
            <w:tcW w:w="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tblCellSpacing w:w="0" w:type="dxa"/>
        </w:trPr>
        <w:tc>
          <w:tcPr>
            <w:tcW w:w="3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四川省成都市第七中学（公益一类事业单位）</w:t>
            </w:r>
          </w:p>
        </w:tc>
        <w:tc>
          <w:tcPr>
            <w:tcW w:w="10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028-85442231</w:t>
            </w:r>
          </w:p>
        </w:tc>
        <w:tc>
          <w:tcPr>
            <w:tcW w:w="26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1.成都市教育局官网http://edu.chengdu.gov.cn/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2.四川省成都市第七中学官方网站http://www.cdqz.net/</w:t>
            </w:r>
          </w:p>
        </w:tc>
        <w:tc>
          <w:tcPr>
            <w:tcW w:w="2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本科：物理学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研究生：物理学、学科教学（物理）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中小学高级职称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1.1979年1月1日及以后出生；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2.具有物理学科高级中学教师资格证；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3.从事高中物理教学工作15年及以上；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4.从事高中班主任工作经历9年及以上；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5.曾获得地市级及以上荣誉称号；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6.至少获得过一次地市级及以上教学成果、教育类优秀论文、优质课展评、教师（教学）技能大赛一等奖。</w:t>
            </w:r>
          </w:p>
        </w:tc>
        <w:tc>
          <w:tcPr>
            <w:tcW w:w="2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考核招聘</w:t>
            </w:r>
          </w:p>
        </w:tc>
        <w:tc>
          <w:tcPr>
            <w:tcW w:w="17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网上投递（简历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投递邮箱：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cd7z@sina.cn）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tblCellSpacing w:w="0" w:type="dxa"/>
        </w:trPr>
        <w:tc>
          <w:tcPr>
            <w:tcW w:w="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本科：化学、应用化学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研究生：化学、学科教学（化学）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中小学高级职称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1.1979年1月1日及以后出生；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2.具有化学学科高级中学教师资格证；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3.从事高中化学教学工作15年及以上；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4.从事高中班主任工作经历9年及以上；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5.至少获得过一次地市级及以上教学成果、教育类优秀论文、优质课展评、教师（教学）技能大赛一等奖。</w:t>
            </w:r>
          </w:p>
        </w:tc>
        <w:tc>
          <w:tcPr>
            <w:tcW w:w="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  <w:tblCellSpacing w:w="0" w:type="dxa"/>
        </w:trPr>
        <w:tc>
          <w:tcPr>
            <w:tcW w:w="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高中生物教师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本科：生物科学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研究生：生物学、学科教学（生物）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中小学高级职称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1.1979年1月1日及以后出生；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2.具有生物学科高级中学教师资格证；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3.从事高中生物教学工作15年及以上；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4.从事高中班主任工作经历9年及以上；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5.至少获得过一次省级及以上教学成果、教育类优秀论文、优质课展评、教师（教学）技能大赛二等奖及以上奖励。</w:t>
            </w:r>
          </w:p>
        </w:tc>
        <w:tc>
          <w:tcPr>
            <w:tcW w:w="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  <w:tblCellSpacing w:w="0" w:type="dxa"/>
        </w:trPr>
        <w:tc>
          <w:tcPr>
            <w:tcW w:w="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高中思想政治教师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本科：思想政治教育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研究生：学科教学（思政）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中小学高级职称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1.1979年1月1日及以后出生；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2.具有思想政治学科高级中学教师资格证；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3.从事高中政治教学工作15年及以上；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4.从事高中班主任工作经历9年及以上；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5.曾获得地市级及以上荣誉称号；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6.至少获得过一次地市级及以上教学成果、教育类优秀论文、优质课展评、教师（教学）技能大赛一等奖；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7.主持或参与省级及以上课题至少一项并结项。</w:t>
            </w:r>
          </w:p>
        </w:tc>
        <w:tc>
          <w:tcPr>
            <w:tcW w:w="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  <w:tblCellSpacing w:w="0" w:type="dxa"/>
        </w:trPr>
        <w:tc>
          <w:tcPr>
            <w:tcW w:w="3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四川省成都市树德中学</w:t>
            </w:r>
          </w:p>
        </w:tc>
        <w:tc>
          <w:tcPr>
            <w:tcW w:w="10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028-86198398</w:t>
            </w:r>
          </w:p>
        </w:tc>
        <w:tc>
          <w:tcPr>
            <w:tcW w:w="26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1.成都市教育局官网http://edu.chengdu.gov.cn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2.成都树德中学官网http://www.sdzx.net</w:t>
            </w:r>
          </w:p>
        </w:tc>
        <w:tc>
          <w:tcPr>
            <w:tcW w:w="2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本科:化学；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研究生：化学，学科教学（化学）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中小学高级职称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1.1979年1月1日及以后出生；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2.具有化学学科高级中学教师资格证；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3.从事高中化学教学工作10年及以上；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4.从事高中班主任工作经历3年及以上；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5.至少获得过一次省级教学成果、教育类优秀论文、优质课展评或教师（教学）技能大赛二等奖及以上奖励，或辅导学生化学竞赛至少获得过一次省级二等奖及以上奖励。</w:t>
            </w:r>
          </w:p>
        </w:tc>
        <w:tc>
          <w:tcPr>
            <w:tcW w:w="2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考核招聘</w:t>
            </w:r>
          </w:p>
        </w:tc>
        <w:tc>
          <w:tcPr>
            <w:tcW w:w="17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网上投递（简历填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写通道：https://sdzx.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ubzyw.com/pim/zp/#/?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zpConfigId=9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9" w:hRule="atLeast"/>
          <w:tblCellSpacing w:w="0" w:type="dxa"/>
        </w:trPr>
        <w:tc>
          <w:tcPr>
            <w:tcW w:w="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本科：英语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研究生：英语语言文学、学科教学（英语）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中小学高级职称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8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1.1979年1月1日及以后出生；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2.具有英语学科高级中学教师资格证；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3.从事高中英语教学工作10年及以上；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4.至少获得过一次地市级教学成果、教育类优秀论文、优质课展评或教师（教学）技能大赛一等奖及以上奖励。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5.至少满足以下条件之一：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①指导学生参加英语竞赛获得市级一等奖及以上奖励；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②市级英语学科中心组成员；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③市级名师工作室成员。</w:t>
            </w:r>
          </w:p>
        </w:tc>
        <w:tc>
          <w:tcPr>
            <w:tcW w:w="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A6F2766"/>
    <w:rsid w:val="62795064"/>
    <w:rsid w:val="64513D0C"/>
    <w:rsid w:val="6809233A"/>
    <w:rsid w:val="6A2E5C82"/>
    <w:rsid w:val="6B122E51"/>
    <w:rsid w:val="70CC1EBF"/>
    <w:rsid w:val="72D35B19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235</Words>
  <Characters>272</Characters>
  <Lines>0</Lines>
  <Paragraphs>0</Paragraphs>
  <TotalTime>32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2024-12-25T08:39:15Z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240FF40895004E44AD2CD97933F93EA1_13</vt:lpwstr>
  </property>
</Properties>
</file>