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76" w:lineRule="exact"/>
        <w:rPr>
          <w:rFonts w:hint="eastAsia" w:eastAsia="方正黑体简体" w:cs="黑体"/>
          <w:b w:val="0"/>
          <w:bCs/>
          <w:color w:val="auto"/>
        </w:rPr>
      </w:pPr>
      <w:r>
        <w:rPr>
          <w:rFonts w:hint="eastAsia" w:eastAsia="方正黑体简体" w:cs="黑体"/>
          <w:b w:val="0"/>
          <w:bCs/>
          <w:color w:val="auto"/>
        </w:rPr>
        <w:t>附件1</w:t>
      </w:r>
    </w:p>
    <w:p>
      <w:pPr>
        <w:pStyle w:val="4"/>
        <w:spacing w:line="300" w:lineRule="exact"/>
        <w:rPr>
          <w:rFonts w:hint="eastAsia" w:eastAsia="方正黑体简体" w:cs="黑体"/>
          <w:b w:val="0"/>
          <w:bCs/>
          <w:color w:val="auto"/>
        </w:rPr>
      </w:pPr>
    </w:p>
    <w:p>
      <w:pPr>
        <w:pStyle w:val="4"/>
        <w:spacing w:line="576" w:lineRule="exact"/>
        <w:jc w:val="center"/>
        <w:rPr>
          <w:rFonts w:hint="eastAsia" w:eastAsia="方正小标宋简体" w:cs="宋体"/>
          <w:b w:val="0"/>
          <w:color w:val="auto"/>
          <w:sz w:val="44"/>
          <w:szCs w:val="44"/>
          <w:lang w:eastAsia="zh-CN"/>
        </w:rPr>
      </w:pPr>
      <w:r>
        <w:rPr>
          <w:rFonts w:hint="eastAsia" w:eastAsia="方正小标宋简体" w:cs="宋体"/>
          <w:b w:val="0"/>
          <w:color w:val="auto"/>
          <w:sz w:val="44"/>
          <w:szCs w:val="44"/>
        </w:rPr>
        <w:t>招聘单位基本情况</w:t>
      </w:r>
    </w:p>
    <w:p>
      <w:pPr>
        <w:pStyle w:val="4"/>
        <w:spacing w:line="300" w:lineRule="exact"/>
        <w:jc w:val="center"/>
        <w:rPr>
          <w:rFonts w:hint="eastAsia" w:eastAsia="方正小标宋简体" w:cs="宋体"/>
          <w:b w:val="0"/>
          <w:color w:val="auto"/>
          <w:sz w:val="44"/>
          <w:szCs w:val="44"/>
        </w:rPr>
      </w:pPr>
      <w:bookmarkStart w:id="0" w:name="_GoBack"/>
      <w:bookmarkEnd w:id="0"/>
    </w:p>
    <w:tbl>
      <w:tblPr>
        <w:tblStyle w:val="6"/>
        <w:tblW w:w="133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992"/>
        <w:gridCol w:w="2208"/>
        <w:gridCol w:w="2868"/>
        <w:gridCol w:w="5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黑体简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黑体简体" w:cs="宋体"/>
                <w:bCs/>
                <w:color w:val="auto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黑体简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黑体简体" w:cs="宋体"/>
                <w:bCs/>
                <w:color w:val="auto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黑体简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黑体简体" w:cs="宋体"/>
                <w:bCs/>
                <w:color w:val="auto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黑体简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黑体简体" w:cs="宋体"/>
                <w:bCs/>
                <w:color w:val="auto"/>
                <w:kern w:val="0"/>
                <w:sz w:val="20"/>
                <w:szCs w:val="20"/>
                <w:lang w:bidi="ar"/>
              </w:rPr>
              <w:t>单位地址</w:t>
            </w:r>
          </w:p>
        </w:tc>
        <w:tc>
          <w:tcPr>
            <w:tcW w:w="5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方正黑体简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黑体简体" w:cs="宋体"/>
                <w:bCs/>
                <w:color w:val="auto"/>
                <w:kern w:val="0"/>
                <w:sz w:val="20"/>
                <w:szCs w:val="20"/>
                <w:lang w:bidi="ar"/>
              </w:rPr>
              <w:t>主要职能、简介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广元市利州区国有资产监督管理和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金融工作局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广元市利州发展控股（集团）有限公司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广元市利州区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万缘新区万达广场（西区）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3#写字楼17楼</w:t>
            </w:r>
          </w:p>
        </w:tc>
        <w:tc>
          <w:tcPr>
            <w:tcW w:w="5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主要经营范围包括房地产开发、棚户区改造、土地整理、市政工程、康养服务、人力资源、大宗建材贸易等。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广元市利州区国有资产监督管理和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金融工作局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广元市利元产业发展集团有限公司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广元市利州区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建设路55号</w:t>
            </w:r>
          </w:p>
        </w:tc>
        <w:tc>
          <w:tcPr>
            <w:tcW w:w="5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主要经营范围为土地整治、保障性安居房建设、工程设计及清单编制、工程咨询服务及建设、农业综合开发、旅游开发管理、水利电力工程、市政公用工程、汽车租赁、建筑材料经营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广元市利州区国有资产监督管理和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金融工作局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广元市利州区文旅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投资集团有限公司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广元市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利州区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翠云路139号贵商大厦12楼</w:t>
            </w:r>
          </w:p>
        </w:tc>
        <w:tc>
          <w:tcPr>
            <w:tcW w:w="5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主要经营范围为文化旅游体育资源开发、游览景区管理、酒店管理、工程建设服务、餐饮服务等。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广元市利州区国有资产监督管理和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金融工作局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广元市利兴工业发展集团有限公司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广元市利州区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嘉陵办事处蜀门北路康宁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公寓办公用房1至4层</w:t>
            </w:r>
          </w:p>
        </w:tc>
        <w:tc>
          <w:tcPr>
            <w:tcW w:w="5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主要从事全区工业园区基础设施项目投资、保障性安居建设、水利电工程及政府授权或委托的其他经营业务。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广元市利州区国有资产监督管理和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金融工作局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广元市利州区利坤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发展有限公司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广元市利州区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建设路55号</w:t>
            </w:r>
          </w:p>
        </w:tc>
        <w:tc>
          <w:tcPr>
            <w:tcW w:w="5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主要经营范围为资产经营管理、融资担保管理、项目投资管理等，承担国有资本统筹、优势企业培育，不良资产转化，优势产业整合等战略功能。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广元市利州区国有资产监督管理和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金融工作局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广元市城乡更新建设有限公司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广元市利州区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利州东路745号</w:t>
            </w:r>
          </w:p>
        </w:tc>
        <w:tc>
          <w:tcPr>
            <w:tcW w:w="5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主要经营范围为建设工程施工、房地产开发经营、建设工程勘察、住宅室内装饰装修、土地整治服务、房屋拆迁服务、规划设计管理、物业管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理等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TIwMmUzZDllMTdkZjU4ZTVhYzY5OTkxM2EzZTgifQ=="/>
  </w:docVars>
  <w:rsids>
    <w:rsidRoot w:val="4CDC1EE5"/>
    <w:rsid w:val="4CDC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200" w:firstLineChars="200"/>
    </w:pPr>
  </w:style>
  <w:style w:type="paragraph" w:customStyle="1" w:styleId="3">
    <w:name w:val="BodyTextIndent"/>
    <w:basedOn w:val="1"/>
    <w:qFormat/>
    <w:uiPriority w:val="0"/>
    <w:pPr>
      <w:ind w:left="200" w:leftChars="200"/>
    </w:pPr>
  </w:style>
  <w:style w:type="paragraph" w:styleId="4">
    <w:name w:val="Plain Text"/>
    <w:qFormat/>
    <w:uiPriority w:val="0"/>
    <w:pPr>
      <w:jc w:val="both"/>
      <w:textAlignment w:val="baseline"/>
    </w:pPr>
    <w:rPr>
      <w:rFonts w:ascii="宋体" w:hAnsi="宋体" w:eastAsia="仿宋_GB2312" w:cs="Courier New"/>
      <w:b/>
      <w:kern w:val="2"/>
      <w:sz w:val="32"/>
      <w:szCs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2023-10-13T08:13:00Z</dcterms:created>
  <dc:creator>Café.</dc:creator>
  <cp:lastModifiedBy>Café.</cp:lastModifiedBy>
  <dcterms:modified xsi:type="dcterms:W3CDTF">2023-10-13T08:16:04Z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F44AFBB2E94C4DA783F86B266160DCB8_11</vt:lpwstr>
  </property>
</Properties>
</file>