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成都市金牛区人民政府抚琴街道办事处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hint="eastAsia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社区工作者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补员岗位表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社区工作者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0400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遵守国家法律法规，政治素质好，责任心强；身心健康，具有正常履行职责的身体条件和心理素质；热爱社区工作，乐于奉献，善于开展群众工作，具有较强的组织协调能力和相关业务知识；品行端正、身体健康，年龄原则上在35周岁（不含）以下；具有国家承认的本科及以上学历，取得学历相应学位，专业不限；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取得国家社会工作者职业资格证书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，2024年非在职应届高校毕业生（含2023年毕业的非在职高校毕业生）可适当放宽。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本岗位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同等条件下优先招聘社会工作专业毕业的专业人才、退役军人、在本辖区工作生活的人员。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下辖社区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54D222-DE3A-4CA4-BF28-25C2A314545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E48416B-8E06-4EB6-A672-9FD2EEBEBF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2ABB7F-A35B-4474-8F58-E9FEC63E8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2025-02-14T08:17:06Z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