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-6"/>
          <w:sz w:val="36"/>
          <w:szCs w:val="36"/>
          <w:shd w:val="clear" w:fill="FFFFFF"/>
        </w:rPr>
        <w:t>2023年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-6"/>
          <w:sz w:val="36"/>
          <w:szCs w:val="36"/>
          <w:shd w:val="clear" w:fill="FFFFFF"/>
          <w:lang w:eastAsia="zh-CN"/>
        </w:rPr>
        <w:t>英吉沙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-6"/>
          <w:sz w:val="36"/>
          <w:szCs w:val="36"/>
          <w:shd w:val="clear" w:fill="FFFFFF"/>
        </w:rPr>
        <w:t>县水利局面向社会公开招聘自收自支事业单位工作人员岗位表</w:t>
      </w:r>
    </w:p>
    <w:tbl>
      <w:tblPr>
        <w:tblStyle w:val="5"/>
        <w:tblW w:w="88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71"/>
        <w:gridCol w:w="602"/>
        <w:gridCol w:w="603"/>
        <w:gridCol w:w="616"/>
        <w:gridCol w:w="789"/>
        <w:gridCol w:w="775"/>
        <w:gridCol w:w="2302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岗位基本条件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英吉沙县水管总站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水利水电工程、水文与水资源工程、水利科学与工程、水利工程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财务管理，会计学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英吉沙县水库服务站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水利、水电、水工类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司法学类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英吉沙县依格孜牙河服务站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英吉沙县木华里服务站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英吉沙县库山河服务站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37CA0315"/>
    <w:rsid w:val="05490779"/>
    <w:rsid w:val="37CA0315"/>
    <w:rsid w:val="4E3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sz w:val="31"/>
      <w:szCs w:val="31"/>
    </w:rPr>
  </w:style>
  <w:style w:type="paragraph" w:customStyle="1" w:styleId="4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998</Words>
  <Characters>1061</Characters>
  <Lines>0</Lines>
  <Paragraphs>0</Paragraphs>
  <TotalTime>0</TotalTime>
  <ScaleCrop>false</ScaleCrop>
  <LinksUpToDate>false</LinksUpToDate>
  <CharactersWithSpaces>1306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2023-06-21T11:08:00Z</dcterms:created>
  <dc:creator>Administrator</dc:creator>
  <cp:lastModifiedBy>Administrator</cp:lastModifiedBy>
  <dcterms:modified xsi:type="dcterms:W3CDTF">2023-06-21T11:10:16Z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8F1CE4C4B0F149ADA435343BF741613E</vt:lpwstr>
  </property>
</Properties>
</file>