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420"/>
        <w:jc w:val="left"/>
        <w:rPr>
          <w:rFonts w:ascii="Helvetica" w:hAnsi="Helvetica" w:eastAsia="Helvetica" w:cs="Helvetica"/>
          <w:i w:val="0"/>
          <w:iCs w:val="0"/>
          <w:caps w:val="0"/>
          <w:color w:val="000000"/>
          <w:spacing w:val="0"/>
          <w:sz w:val="27"/>
          <w:szCs w:val="27"/>
        </w:rPr>
      </w:pPr>
      <w:r>
        <w:rPr>
          <w:rStyle w:val="6"/>
          <w:rFonts w:hint="eastAsia" w:ascii="宋体" w:hAnsi="宋体" w:eastAsia="宋体" w:cs="宋体"/>
          <w:b/>
          <w:bCs/>
          <w:i w:val="0"/>
          <w:iCs w:val="0"/>
          <w:caps w:val="0"/>
          <w:color w:val="000000"/>
          <w:spacing w:val="0"/>
          <w:kern w:val="0"/>
          <w:sz w:val="26"/>
          <w:szCs w:val="26"/>
          <w:shd w:val="clear" w:fill="FFFFFF"/>
          <w:lang w:val="en-US" w:eastAsia="zh-CN" w:bidi="ar"/>
          <w14:ligatures w14:val="standardContextual"/>
        </w:rPr>
        <w:t>附件1</w:t>
      </w:r>
    </w:p>
    <w:p>
      <w:pPr>
        <w:keepNext w:val="0"/>
        <w:keepLines w:val="0"/>
        <w:widowControl/>
        <w:suppressLineNumbers w:val="0"/>
        <w:shd w:val="clear" w:fill="FFFFFF"/>
        <w:spacing w:before="0" w:beforeAutospacing="1" w:after="0" w:afterAutospacing="1"/>
        <w:ind w:left="0" w:right="0" w:firstLine="480"/>
        <w:jc w:val="center"/>
        <w:rPr>
          <w:rFonts w:hint="default" w:ascii="Helvetica" w:hAnsi="Helvetica" w:eastAsia="Helvetica" w:cs="Helvetica"/>
          <w:i w:val="0"/>
          <w:iCs w:val="0"/>
          <w:caps w:val="0"/>
          <w:color w:val="000000"/>
          <w:spacing w:val="0"/>
          <w:sz w:val="27"/>
          <w:szCs w:val="27"/>
        </w:rPr>
      </w:pPr>
      <w:bookmarkStart w:id="0" w:name="_GoBack"/>
      <w:r>
        <w:rPr>
          <w:rStyle w:val="6"/>
          <w:rFonts w:hint="eastAsia" w:ascii="宋体" w:hAnsi="宋体" w:eastAsia="宋体" w:cs="宋体"/>
          <w:b/>
          <w:bCs/>
          <w:i w:val="0"/>
          <w:iCs w:val="0"/>
          <w:caps w:val="0"/>
          <w:color w:val="000000"/>
          <w:spacing w:val="0"/>
          <w:kern w:val="0"/>
          <w:sz w:val="26"/>
          <w:szCs w:val="26"/>
          <w:shd w:val="clear" w:fill="FFFFFF"/>
          <w:lang w:val="en-US" w:eastAsia="zh-CN" w:bidi="ar"/>
          <w14:ligatures w14:val="standardContextual"/>
        </w:rPr>
        <w:t>宜宾市相关市属国有企业简介</w:t>
      </w:r>
    </w:p>
    <w:bookmarkEnd w:id="0"/>
    <w:tbl>
      <w:tblPr>
        <w:tblW w:w="13939"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70"/>
        <w:gridCol w:w="1146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728"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40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单位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40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基本情况简介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3450"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宜宾天原集团股份有限公司</w:t>
            </w:r>
          </w:p>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w:t>
            </w:r>
            <w:r>
              <w:rPr>
                <w:rStyle w:val="6"/>
                <w:rFonts w:hint="eastAsia" w:ascii="宋体" w:hAnsi="宋体" w:eastAsia="宋体" w:cs="宋体"/>
                <w:b/>
                <w:bCs/>
                <w:kern w:val="0"/>
                <w:sz w:val="26"/>
                <w:szCs w:val="26"/>
                <w:lang w:val="en-US" w:eastAsia="zh-CN" w:bidi="ar"/>
                <w14:ligatures w14:val="standardContextual"/>
              </w:rPr>
              <w:t>股票代码002386</w:t>
            </w:r>
            <w:r>
              <w:rPr>
                <w:rStyle w:val="6"/>
                <w:rFonts w:hint="eastAsia" w:ascii="宋体" w:hAnsi="宋体" w:eastAsia="宋体" w:cs="宋体"/>
                <w:b/>
                <w:bCs/>
                <w:spacing w:val="0"/>
                <w:kern w:val="0"/>
                <w:sz w:val="26"/>
                <w:szCs w:val="26"/>
                <w:lang w:val="en-US" w:eastAsia="zh-CN" w:bidi="ar"/>
                <w14:ligatures w14:val="standardContextual"/>
              </w:rPr>
              <w:t>）</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spacing w:before="0" w:beforeAutospacing="1" w:after="0" w:afterAutospacing="0" w:line="360" w:lineRule="atLeast"/>
              <w:ind w:left="0" w:right="0" w:firstLine="562"/>
              <w:jc w:val="both"/>
            </w:pPr>
            <w:r>
              <w:rPr>
                <w:rStyle w:val="6"/>
                <w:rFonts w:hint="eastAsia" w:ascii="宋体" w:hAnsi="宋体" w:eastAsia="宋体" w:cs="宋体"/>
                <w:b/>
                <w:bCs/>
                <w:sz w:val="26"/>
                <w:szCs w:val="26"/>
              </w:rPr>
              <w:t>以为美好生活创造科学奇迹为企业使命，致力于创建具有国际竞争力的以新材料新能源产业为核心业务的特大型综合现代企业集团。产业涉及锂电材料、高分子新材料、钛化工、精细化工、资源能源等多个领域，已拥有完整的“资源能源—氯碱化工—化工新材料及新能源电池材料”一体化制造业循环产业链，在加快推动行业绿色高质量可持续发展等方面起到积极示范作用。是国家首批循环经济试点企业、国家首批绿色制造体系绿色工厂示范企业、国家级技术创新示范企业、国家首批能效领跑者标杆企业。</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24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宜宾丝丽雅集团有限公司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以生物基纤维产业为根基，构建了以生物基纤维、房地产开发、供应链贸易、白酒、医疗卫材为主要发展方向的大型综合现代化国有企业集团，资产总额374.44亿元，现有控股企业59家，建有国家级博士后科研工作站，拥有100余项国际领先技术，200余项国内领先技术和近3000项自主知识产权，是行业20多项高新技术群及产品标准的提出者和创建者，企业申请国家专利1800余项，已获授权1400余项，专利实施率达80%以上，是国家级创新型企业、国家级循环经济试点企业、四川省重点骨干企业。</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450"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宜宾发展控股集团有限公司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宜宾市国有资本投融资及综合运营管理平台和综合金融服务平台，注册资本50亿元，资产规模5200余亿元，由宜宾市国资委持股90%、四川省财政厅持股10%，参控股有五粮液、天原集团等企业44户，自2016年起稳定保持AAA主体信用等级，是中西部地区第一家获得最高评级的地市级功能性企业，拥有中国银行间市场交易商协会头部企业多品种债务融资工具（TDFI）资质，是中西部第一家取得该资质的地市级国有企业，自2020年度起连续四年被中央结算公司评为优秀企业债发行机构。</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76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宜宾市商业银行股份有限公司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宜宾市政府控股的地方性法人金融机构，全力打造地方政府伙伴银行、数字化供应链小微银行和特色化优质服务银行。注册资本39亿元，列四川省城商行前列、市级城商行第一。资本充足率、不良贷款率、拨备覆盖率等核心监管指标优于全国平均水平，获评四川省“优秀服务业企业”100强、四川省“诚信企业”，连续四年名列宜宾银行业金融机构综合评价第一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768"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宜宾市高新投资集团有限公司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重点服务宜宾高新区打造国家级晶硅光伏产业集群、创建国家级高新区的国有企业，注册资本20亿元，聚焦“晶硅光伏、新材料、智能制造、轻食品”等绿色主导产业，主要开展宜宾高新区开发运营、资本招商、产业孵化、特许经营等业务。宜宾高新区规划建设开发面积26.5平方公里，已入驻英发德耀、四川高景、和光同程等一批晶硅光伏龙头企业，己建成沿江片区商务中心等重大项目，全面推进菜坝片区开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768"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宜宾发展产城投资有限公司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坚持“产城人融合发展”和“策规一体”，全面重点参与高铁南片区12.3平方公里“投融建运”工作，公司资产总额53.51亿元，项目总投资530亿元、已完成投资70.24亿元，招引入驻数字经济企业80余家，推动高铁南片区形成“3+2”产业发展格局，站前片区已引入华润万象生活商业和万豪集团旗下酒店，推动形成商务中心、“三江视界”数字媒体、“仁城·澜峰”、“产城·星寓”等7个运营服务品牌。</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24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宜宾市新兴产业投资集团有限公司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成立于2017年3月，注册资本50亿元，主体信用评级为AA。公司以资本运作为基石，按照“直投建链、强链”+“市场化基金延链、补链”为总体投资逻辑，聚焦动力电池、高端装备制造、数字经济、新材料等新兴产业，开展项目投资和培育、资产管理与运营等业务。力争到2025年末，实现基金总规模达200亿元、投资上市公司数量达10户、主体信用评级达AA+，合并总资产超过500亿元、营业收入达100亿元，成为赋能区域发展的一流产业集团。</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134"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kern w:val="0"/>
                <w:sz w:val="26"/>
                <w:szCs w:val="26"/>
                <w:lang w:val="en-US" w:eastAsia="zh-CN" w:bidi="ar"/>
                <w14:ligatures w14:val="standardContextual"/>
              </w:rPr>
              <w:t>宜宾市科教产业投资集团有限公司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注册资本金32.28亿元，聚焦“科教”内涵，整合“双城”资源，构建以“科创服务、教育服务、配套服务”为核心的“2+1”业务体系，通过科创服务构建宜宾科技发展高地，助力宜宾产业迭代升级，通过教育服务提升巩固宜宾产业高质量发展的人力资源基础，保障产业人才供给，通过配套服务推进宜宾产业完善和发展环境优化，进一步提升科技创新服务水平，着力打造“科技创新服务生态圈”和“教育服务生态圈”，推动创新链、产业链、资金链、人才链深度融合，探索由“硬件”为主向“软件”为主、从“建设商”向“运营商”的转型，加快发展成为西部领先的科教产业综合服务集团。</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3450"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宜宾市城市和交通建设投资集团有限公司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发展定位为宜宾城市和交通投资、建设、运营集团，主要承担宜宾城市和交通基础设施投资建设、公共配套设施投资建设及城市区域综合开发等任务，布局有城市和交通重大项目投资建设、乡村振兴、城市区域综合开发、建筑施工及工程设计咨询与供应链贸易、绿色建材、资产运营、新能源和汽车“4+4”产业。集团资产总额483亿元，信用评级AA+，全资及控股子公司44家，参股子公司22家，拥有建筑、市政2个一级总承包资质，公路、水利水电3个二级总承包资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76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四川长江担保集团有限公司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宜宾市属一级国有骨干金融企业集团，注册资本13.59亿元，资产总额26亿元，控股四川长江民营经济融资担保公司、宜宾市农业融资担保公司、宜宾和正融资担保公司3家子公司。核心子公司四川长江民营经济融资担保公司是国有全资担保机构，中国融资担保业协会会员单位，四川省融资担保业协会理事单位，AA+信用等级，四川省融资担保协会A级评价，在四川省83家政府性融资担保机构中综合排名全省第三。</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76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spacing w:val="0"/>
                <w:kern w:val="0"/>
                <w:sz w:val="26"/>
                <w:szCs w:val="26"/>
                <w:lang w:val="en-US" w:eastAsia="zh-CN" w:bidi="ar"/>
                <w14:ligatures w14:val="standardContextual"/>
              </w:rPr>
              <w:t>四川酒业茶业投资集团有限公司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遵照省委、省政府擦亮“川酒”“川茶”金字招牌，宜宾市委、市政府“产业发展双轮驱动”战略和“做强、做优、做大酒产业、茶产业，着力构建一体多级发展格局”的总体要求，聚力整合宜宾乃至四川酒、茶优质资源，注册资本8亿元，主营白酒、茶叶等特色优势产业及其相关生产性服务业投资，全力打造世界级白酒产业和茶产业集群，培育更多“川酒”“川茶”品牌。</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088"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20" w:lineRule="atLeast"/>
              <w:ind w:left="0" w:right="0"/>
              <w:jc w:val="center"/>
            </w:pPr>
            <w:r>
              <w:rPr>
                <w:rStyle w:val="6"/>
                <w:rFonts w:hint="eastAsia" w:ascii="宋体" w:hAnsi="宋体" w:eastAsia="宋体" w:cs="宋体"/>
                <w:b/>
                <w:bCs/>
                <w:kern w:val="0"/>
                <w:sz w:val="26"/>
                <w:szCs w:val="26"/>
                <w:lang w:val="en-US" w:eastAsia="zh-CN" w:bidi="ar"/>
                <w14:ligatures w14:val="standardContextual"/>
              </w:rPr>
              <w:t>四川蜀南文化旅游健康产业投资集团有限公司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承担宜宾市加快建成文化旅游强市和国际旅游休闲目的地的战略使命，聚焦文旅资源开发、商旅服务供应、文创产品智造、景区综合运营，是拥有“完整产业链条、完备投资体系、优秀高效团队、合理人才结构、先进管理能力”的综合性、多元化文化、旅游、健康产业区域龙头国有企业。</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799"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jc w:val="center"/>
            </w:pPr>
            <w:r>
              <w:rPr>
                <w:rStyle w:val="6"/>
                <w:rFonts w:hint="eastAsia" w:ascii="宋体" w:hAnsi="宋体" w:eastAsia="宋体" w:cs="宋体"/>
                <w:b/>
                <w:bCs/>
                <w:kern w:val="0"/>
                <w:sz w:val="26"/>
                <w:szCs w:val="26"/>
                <w:lang w:val="en-US" w:eastAsia="zh-CN" w:bidi="ar"/>
                <w14:ligatures w14:val="standardContextual"/>
              </w:rPr>
              <w:t>宜宾传媒集团有限公司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60" w:lineRule="atLeast"/>
              <w:ind w:left="0" w:right="0" w:firstLine="562"/>
              <w:jc w:val="both"/>
            </w:pPr>
            <w:r>
              <w:rPr>
                <w:rStyle w:val="6"/>
                <w:rFonts w:hint="eastAsia" w:ascii="宋体" w:hAnsi="宋体" w:eastAsia="宋体" w:cs="宋体"/>
                <w:b/>
                <w:bCs/>
                <w:kern w:val="0"/>
                <w:sz w:val="26"/>
                <w:szCs w:val="26"/>
                <w:lang w:val="en-US" w:eastAsia="zh-CN" w:bidi="ar"/>
                <w14:ligatures w14:val="standardContextual"/>
              </w:rPr>
              <w:t>以传媒产业为主的文化产业领域投资、融资、建设、管理、运营主体。集团紧扣移动优先策略，集中力量打造以宜人宜宾客户端为主，广播、电视、报纸“三大传统媒介”为支撑，微信微博、抖音、视频号、小红书等第三方平台为补充的“1+3+N”全媒体传播矩阵，形成“新闻+政务服务商务”产业发展体系，打造四川一流、西部领先的地市级传媒行业龙头企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60"/>
        <w:jc w:val="center"/>
        <w:rPr>
          <w:rFonts w:ascii="微软雅黑" w:hAnsi="微软雅黑" w:eastAsia="微软雅黑" w:cs="微软雅黑"/>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60"/>
        <w:jc w:val="center"/>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7CF9541F"/>
    <w:rsid w:val="0DD82112"/>
    <w:rsid w:val="0FA573D4"/>
    <w:rsid w:val="10221D47"/>
    <w:rsid w:val="13F638CF"/>
    <w:rsid w:val="1A967C6D"/>
    <w:rsid w:val="1E0E5DB0"/>
    <w:rsid w:val="228923B7"/>
    <w:rsid w:val="249C0874"/>
    <w:rsid w:val="259F0A41"/>
    <w:rsid w:val="28416758"/>
    <w:rsid w:val="2D675D83"/>
    <w:rsid w:val="33D71E05"/>
    <w:rsid w:val="34806A13"/>
    <w:rsid w:val="3E292FCF"/>
    <w:rsid w:val="3FC41FE1"/>
    <w:rsid w:val="43095661"/>
    <w:rsid w:val="464510E9"/>
    <w:rsid w:val="4A0B24A7"/>
    <w:rsid w:val="4D0067FF"/>
    <w:rsid w:val="56293A3C"/>
    <w:rsid w:val="62795064"/>
    <w:rsid w:val="6B122E51"/>
    <w:rsid w:val="70CC1EBF"/>
    <w:rsid w:val="7CF9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paragraph" w:customStyle="1" w:styleId="7">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758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2024-09-03T01:50:00Z</dcterms:created>
  <dc:creator>Administrator</dc:creator>
  <cp:lastModifiedBy>Administrator</cp:lastModifiedBy>
  <dcterms:modified xsi:type="dcterms:W3CDTF">2024-09-03T02:22:27Z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5A5D23AA2A894BD99041C52FF05C3EDB_13</vt:lpwstr>
  </property>
</Properties>
</file>