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1878" w:right="0" w:hanging="2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宜宾市检察机关招聘聘用制检察辅助人员职位表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978"/>
        <w:gridCol w:w="978"/>
        <w:gridCol w:w="557"/>
        <w:gridCol w:w="557"/>
        <w:gridCol w:w="838"/>
        <w:gridCol w:w="1118"/>
        <w:gridCol w:w="1259"/>
        <w:gridCol w:w="1680"/>
        <w:gridCol w:w="1259"/>
        <w:gridCol w:w="1460"/>
        <w:gridCol w:w="21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招录单位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职位</w:t>
            </w:r>
          </w:p>
        </w:tc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招录名额</w:t>
            </w:r>
          </w:p>
        </w:tc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招录范围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招录对象性别</w:t>
            </w:r>
          </w:p>
        </w:tc>
        <w:tc>
          <w:tcPr>
            <w:tcW w:w="145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所需知识、技能等条件</w:t>
            </w:r>
          </w:p>
        </w:tc>
        <w:tc>
          <w:tcPr>
            <w:tcW w:w="4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待遇保障</w:t>
            </w:r>
          </w:p>
        </w:tc>
        <w:tc>
          <w:tcPr>
            <w:tcW w:w="5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联系电话</w:t>
            </w:r>
          </w:p>
        </w:tc>
        <w:tc>
          <w:tcPr>
            <w:tcW w:w="7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地址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4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宜宾市人民检察院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聘用制检察辅助人员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法学类相关专业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财政人均保障7.7万元</w:t>
            </w:r>
          </w:p>
        </w:tc>
        <w:tc>
          <w:tcPr>
            <w:tcW w:w="5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0831-2169837</w:t>
            </w:r>
          </w:p>
        </w:tc>
        <w:tc>
          <w:tcPr>
            <w:tcW w:w="7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叙州区金沙江南路东段111号313A办公室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聘用制警务辅助人员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南溪区人民检察院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聘用制检察辅助人员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财政人均保障7.7万元</w:t>
            </w:r>
          </w:p>
        </w:tc>
        <w:tc>
          <w:tcPr>
            <w:tcW w:w="5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0831-7851611</w:t>
            </w:r>
          </w:p>
        </w:tc>
        <w:tc>
          <w:tcPr>
            <w:tcW w:w="7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南溪区政通路10号410办公室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聘用制警务辅助人员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江安县人民检察院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聘用制检察辅助人员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财政人均保障7.7万元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0831-2622575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江安县江安镇夕佳大道400号204办公室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长宁县人民检察院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聘用制警务辅助人员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财政人均保障7.7万元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0831-7870276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长宁县长宁镇泽鸿路229号502办公室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珙县人民检察院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聘用制检察辅助人员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四川省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全日制大学本科及以上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财政人均保障7.7万元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0831-4012818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珙县巡场镇滨河西路南一段174号305办公室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兴文县人民检察院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聘用制警务辅助人员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公安、体育类相关专业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常住兴文县或兴文县有固定住所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财政人均保障7.7万元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0831-8829234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兴文县古宋镇光明通道1号502办公室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屏山县人民检察院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聘用制警务辅助人员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全日制大学专科及以上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屏山县户籍,或在屏山县有固定住所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财政人均保障7.7万元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0831-5702025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屏山县屏山镇金沙江大道西段135号301办公室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DD82112"/>
    <w:rsid w:val="0FA573D4"/>
    <w:rsid w:val="10221D47"/>
    <w:rsid w:val="13F638CF"/>
    <w:rsid w:val="16A15C5E"/>
    <w:rsid w:val="1A967C6D"/>
    <w:rsid w:val="1E0E5DB0"/>
    <w:rsid w:val="228923B7"/>
    <w:rsid w:val="249C0874"/>
    <w:rsid w:val="259F0A41"/>
    <w:rsid w:val="28416758"/>
    <w:rsid w:val="2E6D4CAE"/>
    <w:rsid w:val="33D71E05"/>
    <w:rsid w:val="34806A13"/>
    <w:rsid w:val="3803406C"/>
    <w:rsid w:val="3E292FCF"/>
    <w:rsid w:val="3E7358EE"/>
    <w:rsid w:val="3FC41FE1"/>
    <w:rsid w:val="42F114A1"/>
    <w:rsid w:val="43095661"/>
    <w:rsid w:val="464510E9"/>
    <w:rsid w:val="4A0B24A7"/>
    <w:rsid w:val="4D0067FF"/>
    <w:rsid w:val="51541AB1"/>
    <w:rsid w:val="57F64BE6"/>
    <w:rsid w:val="62795064"/>
    <w:rsid w:val="6B122E51"/>
    <w:rsid w:val="70CC1EBF"/>
    <w:rsid w:val="73260A79"/>
    <w:rsid w:val="774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2024-12-03T09:00:06Z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28DECFD9411E452BB842B47147BF3783_13</vt:lpwstr>
  </property>
</Properties>
</file>