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中油（新疆）石油工程有限公司设计分公司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2023年招聘岗位表</w:t>
      </w:r>
    </w:p>
    <w:tbl>
      <w:tblPr>
        <w:tblStyle w:val="3"/>
        <w:tblW w:w="10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17"/>
        <w:gridCol w:w="993"/>
        <w:gridCol w:w="992"/>
        <w:gridCol w:w="6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招聘岗位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招聘</w:t>
            </w: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人数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32"/>
                <w:szCs w:val="32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安全监督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Cs w:val="28"/>
              </w:rPr>
              <w:t>45岁</w:t>
            </w: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Cs w:val="28"/>
              </w:rPr>
              <w:t>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1.学历及专业要求：安全工程或机电建筑工程相关专业，本科以上学历。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2.所需资格证书：注册安全工程师（优先），安全员证书C类证书。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3.工作经验：5年以上项目现场安全管理经验，3年以上安全监督管理经验。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4.知识要求：熟悉国家、行业和地方性安全生产、环保和职业健康法律法规和标准规范，掌握安全生产监督管理基本知识和事故预防基本技能。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5.技能要求：熟悉计算机操作技能，具有较强的隐患发现能力和分析识别管控能力。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6.个性要求：责任心强，忠诚敬业，勇于奉献，坚持原则。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财务管理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35岁</w:t>
            </w:r>
          </w:p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1.学历及专业要求：会计、财务管理专业本科以上学历，具备初级及以上会计专业技术职称。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2.语言能力要求：具备俄语B2证书，能够进行书面和语言交流。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3.工作经验：3年以上财务管理经验，具有中亚地区国家项目或工作经历者优先考虑。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4.知识要求：熟悉国家财务管理、税务管理、经济管理法律法规和标准规范，了解中亚地区国家财务管理、税务管理、经济管理法律法规和标准规范。</w:t>
            </w:r>
            <w:r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5.技能要求：熟悉计算机操作技能，具有一定风险隐患发现能力和分析识别管控能力。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6.个性要求：责任心强，忠诚敬业，勇于奉献，坚持原则。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油气工艺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1.应届硕士毕业生。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4.所学专业为：油气储运工程、化学工程与工艺、化学工程与技术。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测量工程师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5人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4.所学专业为：测绘工程、地理信息系统、遥感科学与技术、大地测量学与测量工程。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新能源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</w:t>
            </w:r>
            <w:bookmarkStart w:id="0" w:name="_GoBack"/>
            <w:bookmarkEnd w:id="0"/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应届本科生及以上学历的毕业生。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4.所学专业为：新能源科学与工程、新能源材料与器件。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通信工程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4.所学专业为：通信工程、电子信息工程。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水处理及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给排水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4.所学专业为：环境工程、给排水科学与工程。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热工暖通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</w:t>
            </w: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  <w:lang w:eastAsia="zh-CN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应届本科生及以上学历的毕业生。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4.所学专业为：建筑环境与能源应用工程、能源与动力工程、新能源科学与工程。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仪表自动化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4.所学专业为：测控技术与仪器、自动化。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电气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4.所学专业为：电气工程及其自动化、电力系统及其自动化、新能源科学与工程。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岩土工程师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4.所学专业为：土木工程、勘察技术与工程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城市规划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4.所学专业为：城乡规划相关专业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建筑结构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道路桥梁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4.所学专业为：土木工程、桥梁工程、交通运输工程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工程经济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4.所学专业为：工程造价、工程管理、财务管理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三维配管、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非标设备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设计工程师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＜30岁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6人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1.应届本科生及以上学历的毕业生。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2.本科生大学英语（含俄语）四级成绩425分以上，研究生大学英语六级成绩425分以上。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3.身体健康，具有岗位要求的工作能力，服从组织分配。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2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28"/>
              </w:rPr>
              <w:t>4.所学专业为：过程装备与控制工程、力学、机械设计及其自动化、材料成型与控制工程、金属材料工程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方正仿宋简体" w:eastAsia="方正仿宋简体" w:hAnsiTheme="minorEastAsia"/>
          <w:sz w:val="32"/>
          <w:szCs w:val="32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07037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63"/>
    <w:rsid w:val="009F3C63"/>
    <w:rsid w:val="00DD2B26"/>
    <w:rsid w:val="3F1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393</Words>
  <Characters>2246</Characters>
  <Lines>18</Lines>
  <Paragraphs>5</Paragraphs>
  <TotalTime>30</TotalTime>
  <ScaleCrop>false</ScaleCrop>
  <LinksUpToDate>false</LinksUpToDate>
  <CharactersWithSpaces>2634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2023-01-05T11:12:00Z</dcterms:created>
  <dc:creator>user</dc:creator>
  <cp:lastModifiedBy>Administrator</cp:lastModifiedBy>
  <dcterms:modified xsi:type="dcterms:W3CDTF">2023-01-06T03:36:10Z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