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33" w:tblpY="-7953"/>
        <w:tblOverlap w:val="never"/>
        <w:tblW w:w="13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691"/>
        <w:gridCol w:w="1196"/>
        <w:gridCol w:w="750"/>
        <w:gridCol w:w="1065"/>
        <w:gridCol w:w="900"/>
        <w:gridCol w:w="1385"/>
        <w:gridCol w:w="892"/>
        <w:gridCol w:w="1134"/>
        <w:gridCol w:w="742"/>
        <w:gridCol w:w="1915"/>
        <w:gridCol w:w="987"/>
        <w:gridCol w:w="560"/>
        <w:gridCol w:w="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32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四川省医疗保障局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4"/>
                <w:szCs w:val="34"/>
                <w:u w:val="none"/>
              </w:rPr>
              <w:t>关于下属事业单位2023年上半年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4"/>
                <w:szCs w:val="34"/>
                <w:u w:val="none"/>
              </w:rPr>
              <w:t>公开招聘工作人员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拟聘人员公示表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招聘岗位情况</w:t>
            </w:r>
          </w:p>
        </w:tc>
        <w:tc>
          <w:tcPr>
            <w:tcW w:w="6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招聘岗位要求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四川省医疗保险异地结算中心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01601001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</w:rPr>
              <w:t>1987年1月1日及以后出生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本科及以上学历学位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本科：汉语言文学、汉语言、秘书学；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研究生：语言学及应用语言学、汉语言文字学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3251212308827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1994年5月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生，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毕业于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攀枝花学院汉语言文学专业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本科，文学学士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01601002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</w:rPr>
              <w:t>1987年1月1日及以后出生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本科及以上学历学位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本科：计算机科学与技术、软件工程、数据科学与大数据技术；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研究生：计算机系统结构、计算机软件与理论、计算机应用技术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3251212621220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1991年4月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生，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毕业于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西南石油大学软件工程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本科，工学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DUwODExOWM5OGIxMDUzMjk5ZThlNGQ4ZDljNGMifQ=="/>
  </w:docVars>
  <w:rsids>
    <w:rsidRoot w:val="34AC29B7"/>
    <w:rsid w:val="34A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2023-07-25T09:01:00Z</dcterms:created>
  <dc:creator>Lenovo</dc:creator>
  <cp:lastModifiedBy>Lenovo</cp:lastModifiedBy>
  <dcterms:modified xsi:type="dcterms:W3CDTF">2023-07-25T09:01:49Z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63E37D99E1544CB594B3F84CB01009A2_11</vt:lpwstr>
  </property>
</Properties>
</file>