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88A9">
      <w:pPr>
        <w:keepNext w:val="0"/>
        <w:keepLines w:val="0"/>
        <w:pageBreakBefore w:val="0"/>
        <w:widowControl w:val="0"/>
        <w:numPr>
          <w:ilvl w:val="0"/>
          <w:numId w:val="0"/>
        </w:numPr>
        <w:kinsoku/>
        <w:wordWrap/>
        <w:overflowPunct/>
        <w:topLinePunct w:val="0"/>
        <w:autoSpaceDE/>
        <w:autoSpaceDN/>
        <w:bidi w:val="0"/>
        <w:adjustRightInd/>
        <w:snapToGrid/>
        <w:spacing w:line="574" w:lineRule="exact"/>
        <w:jc w:val="both"/>
        <w:textAlignment w:val="auto"/>
        <w:rPr>
          <w:rFonts w:hint="default" w:ascii="Times New Roman" w:hAnsi="仿宋_GB2312" w:eastAsia="仿宋_GB2312" w:cs="Times New Roman"/>
          <w:color w:val="auto"/>
          <w:kern w:val="0"/>
          <w:sz w:val="32"/>
          <w:szCs w:val="32"/>
          <w:lang w:val="en-US" w:eastAsia="zh-CN" w:bidi="ar"/>
        </w:rPr>
      </w:pPr>
      <w:r>
        <w:rPr>
          <w:rFonts w:hint="eastAsia" w:ascii="Times New Roman" w:hAnsi="仿宋_GB2312" w:eastAsia="仿宋_GB2312" w:cs="Times New Roman"/>
          <w:color w:val="auto"/>
          <w:kern w:val="0"/>
          <w:sz w:val="32"/>
          <w:szCs w:val="32"/>
          <w:lang w:val="en-US" w:eastAsia="zh-CN" w:bidi="ar"/>
        </w:rPr>
        <w:t>附件</w:t>
      </w:r>
    </w:p>
    <w:p w14:paraId="027D558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center"/>
        <w:textAlignment w:val="auto"/>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方正小标宋简体" w:cs="Times New Roman"/>
          <w:sz w:val="32"/>
          <w:szCs w:val="32"/>
          <w:highlight w:val="none"/>
          <w:lang w:val="en-US" w:eastAsia="zh-CN"/>
        </w:rPr>
        <w:t>202</w:t>
      </w:r>
      <w:r>
        <w:rPr>
          <w:rFonts w:hint="eastAsia" w:ascii="Times New Roman" w:hAnsi="Times New Roman" w:eastAsia="方正小标宋简体" w:cs="Times New Roman"/>
          <w:sz w:val="32"/>
          <w:szCs w:val="32"/>
          <w:highlight w:val="none"/>
          <w:lang w:val="en-US" w:eastAsia="zh-CN"/>
        </w:rPr>
        <w:t>4</w:t>
      </w:r>
      <w:r>
        <w:rPr>
          <w:rFonts w:hint="default" w:ascii="Times New Roman" w:hAnsi="Times New Roman" w:eastAsia="方正小标宋简体" w:cs="Times New Roman"/>
          <w:sz w:val="32"/>
          <w:szCs w:val="32"/>
          <w:highlight w:val="none"/>
          <w:lang w:val="en-US" w:eastAsia="zh-CN"/>
        </w:rPr>
        <w:t>年成都市温江区市场监督管理局公开</w:t>
      </w:r>
      <w:r>
        <w:rPr>
          <w:rFonts w:hint="eastAsia" w:ascii="Times New Roman" w:hAnsi="Times New Roman" w:eastAsia="方正小标宋简体" w:cs="Times New Roman"/>
          <w:sz w:val="32"/>
          <w:szCs w:val="32"/>
          <w:highlight w:val="none"/>
          <w:lang w:val="en-US" w:eastAsia="zh-CN"/>
        </w:rPr>
        <w:t>招聘</w:t>
      </w:r>
      <w:r>
        <w:rPr>
          <w:rFonts w:hint="default" w:ascii="Times New Roman" w:hAnsi="Times New Roman" w:eastAsia="方正小标宋简体" w:cs="Times New Roman"/>
          <w:sz w:val="32"/>
          <w:szCs w:val="32"/>
          <w:highlight w:val="none"/>
          <w:lang w:val="en-US" w:eastAsia="zh-CN"/>
        </w:rPr>
        <w:t>编外专业技术人员岗位表</w:t>
      </w:r>
    </w:p>
    <w:p w14:paraId="5F01C7F2"/>
    <w:tbl>
      <w:tblPr>
        <w:tblStyle w:val="3"/>
        <w:tblW w:w="15450" w:type="dxa"/>
        <w:tblInd w:w="-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7"/>
        <w:gridCol w:w="613"/>
        <w:gridCol w:w="3550"/>
        <w:gridCol w:w="1202"/>
        <w:gridCol w:w="1085"/>
        <w:gridCol w:w="6925"/>
        <w:gridCol w:w="1138"/>
      </w:tblGrid>
      <w:tr w14:paraId="0109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16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黑体" w:cs="Times New Roman"/>
                <w:b w:val="0"/>
                <w:bCs/>
                <w:i w:val="0"/>
                <w:color w:val="000000"/>
                <w:kern w:val="0"/>
                <w:sz w:val="20"/>
                <w:szCs w:val="20"/>
                <w:highlight w:val="none"/>
                <w:u w:val="none"/>
                <w:lang w:val="en-US" w:eastAsia="zh-CN" w:bidi="ar"/>
              </w:rPr>
            </w:pPr>
            <w:r>
              <w:rPr>
                <w:rFonts w:hint="eastAsia" w:ascii="Times New Roman" w:hAnsi="Times New Roman" w:eastAsia="黑体" w:cs="Times New Roman"/>
                <w:b w:val="0"/>
                <w:bCs/>
                <w:i w:val="0"/>
                <w:color w:val="000000"/>
                <w:kern w:val="0"/>
                <w:sz w:val="20"/>
                <w:szCs w:val="20"/>
                <w:highlight w:val="none"/>
                <w:u w:val="none"/>
                <w:lang w:val="en-US" w:eastAsia="zh-CN" w:bidi="ar"/>
              </w:rPr>
              <w:t>岗 位</w:t>
            </w:r>
          </w:p>
          <w:p w14:paraId="0AACFF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名 称</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C6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招聘人数</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64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lang w:val="en-US"/>
              </w:rPr>
            </w:pPr>
            <w:r>
              <w:rPr>
                <w:rFonts w:hint="default" w:ascii="Times New Roman" w:hAnsi="Times New Roman" w:eastAsia="黑体" w:cs="Times New Roman"/>
                <w:b w:val="0"/>
                <w:bCs/>
                <w:i w:val="0"/>
                <w:color w:val="000000"/>
                <w:kern w:val="0"/>
                <w:sz w:val="20"/>
                <w:szCs w:val="20"/>
                <w:highlight w:val="none"/>
                <w:u w:val="none"/>
                <w:lang w:val="en-US" w:eastAsia="zh-CN" w:bidi="ar"/>
              </w:rPr>
              <w:t>专业</w:t>
            </w:r>
            <w:r>
              <w:rPr>
                <w:rFonts w:hint="eastAsia" w:ascii="Times New Roman" w:hAnsi="Times New Roman" w:eastAsia="黑体" w:cs="Times New Roman"/>
                <w:b w:val="0"/>
                <w:bCs/>
                <w:i w:val="0"/>
                <w:color w:val="000000"/>
                <w:kern w:val="0"/>
                <w:sz w:val="20"/>
                <w:szCs w:val="20"/>
                <w:highlight w:val="none"/>
                <w:u w:val="none"/>
                <w:lang w:val="en-US" w:eastAsia="zh-CN" w:bidi="ar"/>
              </w:rPr>
              <w:t>名称</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72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学历学位</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23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kern w:val="0"/>
                <w:sz w:val="20"/>
                <w:szCs w:val="20"/>
                <w:highlight w:val="none"/>
                <w:u w:val="none"/>
                <w:lang w:val="en-US" w:eastAsia="zh-CN" w:bidi="ar"/>
              </w:rPr>
            </w:pPr>
            <w:r>
              <w:rPr>
                <w:rFonts w:hint="eastAsia" w:ascii="Times New Roman" w:hAnsi="Times New Roman" w:eastAsia="黑体" w:cs="Times New Roman"/>
                <w:b w:val="0"/>
                <w:bCs/>
                <w:i w:val="0"/>
                <w:color w:val="000000"/>
                <w:kern w:val="0"/>
                <w:sz w:val="20"/>
                <w:szCs w:val="20"/>
                <w:highlight w:val="none"/>
                <w:u w:val="none"/>
                <w:lang w:val="en-US" w:eastAsia="zh-CN" w:bidi="ar"/>
              </w:rPr>
              <w:t>其他要求</w:t>
            </w:r>
          </w:p>
        </w:tc>
        <w:tc>
          <w:tcPr>
            <w:tcW w:w="6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6A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黑体" w:cs="Times New Roman"/>
                <w:b w:val="0"/>
                <w:bCs/>
                <w:i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岗位职责</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AC847">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eastAsia="黑体" w:cs="Times New Roman"/>
                <w:b w:val="0"/>
                <w:bCs/>
                <w:i w:val="0"/>
                <w:color w:val="000000"/>
                <w:sz w:val="20"/>
                <w:szCs w:val="20"/>
                <w:highlight w:val="none"/>
                <w:u w:val="none"/>
                <w:lang w:eastAsia="zh-CN"/>
              </w:rPr>
            </w:pPr>
            <w:r>
              <w:rPr>
                <w:rFonts w:hint="default" w:ascii="Times New Roman" w:hAnsi="Times New Roman" w:eastAsia="黑体" w:cs="Times New Roman"/>
                <w:b w:val="0"/>
                <w:bCs/>
                <w:i w:val="0"/>
                <w:color w:val="000000"/>
                <w:sz w:val="20"/>
                <w:szCs w:val="20"/>
                <w:highlight w:val="none"/>
                <w:u w:val="none"/>
                <w:lang w:eastAsia="zh-CN"/>
              </w:rPr>
              <w:t>薪酬</w:t>
            </w:r>
          </w:p>
        </w:tc>
      </w:tr>
      <w:tr w14:paraId="12B6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6"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14B90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知识产权维权援助辅助人员</w:t>
            </w:r>
          </w:p>
        </w:tc>
        <w:tc>
          <w:tcPr>
            <w:tcW w:w="613" w:type="dxa"/>
            <w:tcBorders>
              <w:top w:val="single" w:color="000000" w:sz="4" w:space="0"/>
              <w:left w:val="single" w:color="000000" w:sz="4" w:space="0"/>
              <w:bottom w:val="single" w:color="000000" w:sz="4" w:space="0"/>
              <w:right w:val="single" w:color="000000" w:sz="4" w:space="0"/>
            </w:tcBorders>
            <w:vAlign w:val="center"/>
          </w:tcPr>
          <w:p w14:paraId="76A403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lang w:val="en-US" w:eastAsia="zh-CN"/>
              </w:rPr>
            </w:pPr>
            <w:r>
              <w:rPr>
                <w:rFonts w:hint="eastAsia" w:ascii="Times New Roman" w:hAnsi="Times New Roman" w:eastAsia="方正小标宋_GBK" w:cs="Times New Roman"/>
                <w:i w:val="0"/>
                <w:color w:val="000000"/>
                <w:sz w:val="18"/>
                <w:szCs w:val="18"/>
                <w:highlight w:val="none"/>
                <w:u w:val="none"/>
                <w:lang w:val="en-US" w:eastAsia="zh-CN"/>
              </w:rPr>
              <w:t>1</w:t>
            </w:r>
          </w:p>
        </w:tc>
        <w:tc>
          <w:tcPr>
            <w:tcW w:w="3550" w:type="dxa"/>
            <w:tcBorders>
              <w:top w:val="single" w:color="000000" w:sz="4" w:space="0"/>
              <w:left w:val="single" w:color="000000" w:sz="4" w:space="0"/>
              <w:bottom w:val="single" w:color="000000" w:sz="4" w:space="0"/>
              <w:right w:val="single" w:color="000000" w:sz="4" w:space="0"/>
            </w:tcBorders>
            <w:vAlign w:val="center"/>
          </w:tcPr>
          <w:p w14:paraId="3C86C6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b/>
                <w:bCs/>
                <w:i w:val="0"/>
                <w:color w:val="000000"/>
                <w:kern w:val="0"/>
                <w:sz w:val="18"/>
                <w:szCs w:val="18"/>
                <w:highlight w:val="none"/>
                <w:u w:val="none"/>
                <w:lang w:val="en-US" w:eastAsia="zh-CN" w:bidi="ar"/>
              </w:rPr>
              <w:t>本科：</w:t>
            </w:r>
            <w:r>
              <w:rPr>
                <w:rFonts w:hint="default" w:ascii="Times New Roman" w:hAnsi="Times New Roman" w:eastAsia="方正小标宋_GBK" w:cs="Times New Roman"/>
                <w:i w:val="0"/>
                <w:color w:val="000000"/>
                <w:kern w:val="0"/>
                <w:sz w:val="18"/>
                <w:szCs w:val="18"/>
                <w:highlight w:val="none"/>
                <w:u w:val="none"/>
                <w:lang w:val="en-US" w:eastAsia="zh-CN" w:bidi="ar"/>
              </w:rPr>
              <w:t>030101K法学；020101经济学；120201K工商管理</w:t>
            </w:r>
            <w:r>
              <w:rPr>
                <w:rFonts w:hint="eastAsia" w:ascii="Times New Roman" w:hAnsi="Times New Roman" w:eastAsia="方正小标宋_GBK" w:cs="Times New Roman"/>
                <w:i w:val="0"/>
                <w:color w:val="000000"/>
                <w:kern w:val="0"/>
                <w:sz w:val="18"/>
                <w:szCs w:val="18"/>
                <w:highlight w:val="none"/>
                <w:u w:val="none"/>
                <w:lang w:val="en-US" w:eastAsia="zh-CN" w:bidi="ar"/>
              </w:rPr>
              <w:t>；</w:t>
            </w:r>
            <w:r>
              <w:rPr>
                <w:rFonts w:hint="default" w:ascii="Times New Roman" w:hAnsi="Times New Roman" w:eastAsia="方正小标宋_GBK" w:cs="Times New Roman"/>
                <w:i w:val="0"/>
                <w:color w:val="000000"/>
                <w:kern w:val="0"/>
                <w:sz w:val="18"/>
                <w:szCs w:val="18"/>
                <w:highlight w:val="none"/>
                <w:u w:val="none"/>
                <w:lang w:val="en-US" w:eastAsia="zh-CN" w:bidi="ar"/>
              </w:rPr>
              <w:t>080901 计算机科学与技术；</w:t>
            </w:r>
            <w:r>
              <w:rPr>
                <w:rFonts w:hint="eastAsia" w:ascii="Times New Roman" w:hAnsi="Times New Roman" w:eastAsia="方正小标宋_GBK" w:cs="Times New Roman"/>
                <w:i w:val="0"/>
                <w:color w:val="000000"/>
                <w:kern w:val="0"/>
                <w:sz w:val="18"/>
                <w:szCs w:val="18"/>
                <w:highlight w:val="none"/>
                <w:u w:val="none"/>
                <w:lang w:val="en-US" w:eastAsia="zh-CN" w:bidi="ar"/>
              </w:rPr>
              <w:t>080201</w:t>
            </w:r>
            <w:r>
              <w:rPr>
                <w:rFonts w:hint="default" w:ascii="Times New Roman" w:hAnsi="Times New Roman" w:eastAsia="方正小标宋_GBK" w:cs="Times New Roman"/>
                <w:i w:val="0"/>
                <w:color w:val="000000"/>
                <w:kern w:val="0"/>
                <w:sz w:val="18"/>
                <w:szCs w:val="18"/>
                <w:highlight w:val="none"/>
                <w:u w:val="none"/>
                <w:lang w:val="en-US" w:eastAsia="zh-CN" w:bidi="ar"/>
              </w:rPr>
              <w:t>机械工程</w:t>
            </w:r>
            <w:r>
              <w:rPr>
                <w:rFonts w:hint="eastAsia" w:ascii="Times New Roman" w:hAnsi="Times New Roman" w:eastAsia="方正小标宋_GBK" w:cs="Times New Roman"/>
                <w:i w:val="0"/>
                <w:color w:val="000000"/>
                <w:kern w:val="0"/>
                <w:sz w:val="18"/>
                <w:szCs w:val="18"/>
                <w:highlight w:val="none"/>
                <w:u w:val="none"/>
                <w:lang w:val="en-US" w:eastAsia="zh-CN" w:bidi="ar"/>
              </w:rPr>
              <w:t>；050101汉语言文学。</w:t>
            </w:r>
          </w:p>
          <w:p w14:paraId="0A9B85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b/>
                <w:bCs/>
                <w:i w:val="0"/>
                <w:color w:val="000000"/>
                <w:kern w:val="0"/>
                <w:sz w:val="18"/>
                <w:szCs w:val="18"/>
                <w:highlight w:val="none"/>
                <w:u w:val="none"/>
                <w:lang w:val="en-US" w:eastAsia="zh-CN" w:bidi="ar"/>
              </w:rPr>
              <w:t>研究生：</w:t>
            </w:r>
            <w:r>
              <w:rPr>
                <w:rFonts w:hint="eastAsia" w:ascii="Times New Roman" w:hAnsi="Times New Roman" w:eastAsia="方正小标宋_GBK" w:cs="Times New Roman"/>
                <w:i w:val="0"/>
                <w:color w:val="000000"/>
                <w:kern w:val="0"/>
                <w:sz w:val="18"/>
                <w:szCs w:val="18"/>
                <w:highlight w:val="none"/>
                <w:u w:val="none"/>
                <w:lang w:val="en-US" w:eastAsia="zh-CN" w:bidi="ar"/>
              </w:rPr>
              <w:t>0301</w:t>
            </w:r>
            <w:r>
              <w:rPr>
                <w:rFonts w:hint="default" w:ascii="Times New Roman" w:hAnsi="Times New Roman" w:eastAsia="方正小标宋_GBK" w:cs="Times New Roman"/>
                <w:i w:val="0"/>
                <w:color w:val="000000"/>
                <w:kern w:val="0"/>
                <w:sz w:val="18"/>
                <w:szCs w:val="18"/>
                <w:highlight w:val="none"/>
                <w:u w:val="none"/>
                <w:lang w:val="en-US" w:eastAsia="zh-CN" w:bidi="ar"/>
              </w:rPr>
              <w:t>法学；</w:t>
            </w:r>
            <w:r>
              <w:rPr>
                <w:rFonts w:hint="eastAsia" w:ascii="Times New Roman" w:hAnsi="Times New Roman" w:eastAsia="方正小标宋_GBK" w:cs="Times New Roman"/>
                <w:i w:val="0"/>
                <w:color w:val="000000"/>
                <w:kern w:val="0"/>
                <w:sz w:val="18"/>
                <w:szCs w:val="18"/>
                <w:highlight w:val="none"/>
                <w:u w:val="none"/>
                <w:lang w:val="en-US" w:eastAsia="zh-CN" w:bidi="ar"/>
              </w:rPr>
              <w:t>0202应用</w:t>
            </w:r>
            <w:r>
              <w:rPr>
                <w:rFonts w:hint="default" w:ascii="Times New Roman" w:hAnsi="Times New Roman" w:eastAsia="方正小标宋_GBK" w:cs="Times New Roman"/>
                <w:i w:val="0"/>
                <w:color w:val="000000"/>
                <w:kern w:val="0"/>
                <w:sz w:val="18"/>
                <w:szCs w:val="18"/>
                <w:highlight w:val="none"/>
                <w:u w:val="none"/>
                <w:lang w:val="en-US" w:eastAsia="zh-CN" w:bidi="ar"/>
              </w:rPr>
              <w:t>经济学；</w:t>
            </w:r>
            <w:r>
              <w:rPr>
                <w:rFonts w:hint="eastAsia" w:ascii="Times New Roman" w:hAnsi="Times New Roman" w:eastAsia="方正小标宋_GBK" w:cs="Times New Roman"/>
                <w:i w:val="0"/>
                <w:color w:val="000000"/>
                <w:kern w:val="0"/>
                <w:sz w:val="18"/>
                <w:szCs w:val="18"/>
                <w:highlight w:val="none"/>
                <w:u w:val="none"/>
                <w:lang w:val="en-US" w:eastAsia="zh-CN" w:bidi="ar"/>
              </w:rPr>
              <w:t>1202、1251</w:t>
            </w:r>
            <w:r>
              <w:rPr>
                <w:rFonts w:hint="default" w:ascii="Times New Roman" w:hAnsi="Times New Roman" w:eastAsia="方正小标宋_GBK" w:cs="Times New Roman"/>
                <w:i w:val="0"/>
                <w:color w:val="000000"/>
                <w:kern w:val="0"/>
                <w:sz w:val="18"/>
                <w:szCs w:val="18"/>
                <w:highlight w:val="none"/>
                <w:u w:val="none"/>
                <w:lang w:val="en-US" w:eastAsia="zh-CN" w:bidi="ar"/>
              </w:rPr>
              <w:t>工商管理</w:t>
            </w:r>
            <w:r>
              <w:rPr>
                <w:rFonts w:hint="eastAsia" w:ascii="Times New Roman" w:hAnsi="Times New Roman" w:eastAsia="方正小标宋_GBK" w:cs="Times New Roman"/>
                <w:i w:val="0"/>
                <w:color w:val="000000"/>
                <w:kern w:val="0"/>
                <w:sz w:val="18"/>
                <w:szCs w:val="18"/>
                <w:highlight w:val="none"/>
                <w:u w:val="none"/>
                <w:lang w:val="en-US" w:eastAsia="zh-CN" w:bidi="ar"/>
              </w:rPr>
              <w:t>；0812</w:t>
            </w:r>
            <w:r>
              <w:rPr>
                <w:rFonts w:hint="default" w:ascii="Times New Roman" w:hAnsi="Times New Roman" w:eastAsia="方正小标宋_GBK" w:cs="Times New Roman"/>
                <w:i w:val="0"/>
                <w:color w:val="000000"/>
                <w:kern w:val="0"/>
                <w:sz w:val="18"/>
                <w:szCs w:val="18"/>
                <w:highlight w:val="none"/>
                <w:u w:val="none"/>
                <w:lang w:val="en-US" w:eastAsia="zh-CN" w:bidi="ar"/>
              </w:rPr>
              <w:t>计算机科学与技术；</w:t>
            </w:r>
            <w:r>
              <w:rPr>
                <w:rFonts w:hint="eastAsia" w:ascii="Times New Roman" w:hAnsi="Times New Roman" w:eastAsia="方正小标宋_GBK" w:cs="Times New Roman"/>
                <w:i w:val="0"/>
                <w:color w:val="000000"/>
                <w:kern w:val="0"/>
                <w:sz w:val="18"/>
                <w:szCs w:val="18"/>
                <w:highlight w:val="none"/>
                <w:u w:val="none"/>
                <w:lang w:val="en-US" w:eastAsia="zh-CN" w:bidi="ar"/>
              </w:rPr>
              <w:t>0802</w:t>
            </w:r>
            <w:r>
              <w:rPr>
                <w:rFonts w:hint="default" w:ascii="Times New Roman" w:hAnsi="Times New Roman" w:eastAsia="方正小标宋_GBK" w:cs="Times New Roman"/>
                <w:i w:val="0"/>
                <w:color w:val="000000"/>
                <w:kern w:val="0"/>
                <w:sz w:val="18"/>
                <w:szCs w:val="18"/>
                <w:highlight w:val="none"/>
                <w:u w:val="none"/>
                <w:lang w:val="en-US" w:eastAsia="zh-CN" w:bidi="ar"/>
              </w:rPr>
              <w:t>机械工程</w:t>
            </w:r>
            <w:r>
              <w:rPr>
                <w:rFonts w:hint="eastAsia" w:ascii="Times New Roman" w:hAnsi="Times New Roman" w:eastAsia="方正小标宋_GBK" w:cs="Times New Roman"/>
                <w:i w:val="0"/>
                <w:color w:val="000000"/>
                <w:kern w:val="0"/>
                <w:sz w:val="18"/>
                <w:szCs w:val="18"/>
                <w:highlight w:val="none"/>
                <w:u w:val="none"/>
                <w:lang w:val="en-US" w:eastAsia="zh-CN" w:bidi="ar"/>
              </w:rPr>
              <w:t>；0501中国语言文学。</w:t>
            </w:r>
          </w:p>
        </w:tc>
        <w:tc>
          <w:tcPr>
            <w:tcW w:w="1202" w:type="dxa"/>
            <w:tcBorders>
              <w:top w:val="single" w:color="000000" w:sz="4" w:space="0"/>
              <w:left w:val="single" w:color="000000" w:sz="4" w:space="0"/>
              <w:bottom w:val="single" w:color="000000" w:sz="4" w:space="0"/>
              <w:right w:val="single" w:color="000000" w:sz="4" w:space="0"/>
            </w:tcBorders>
            <w:vAlign w:val="center"/>
          </w:tcPr>
          <w:p w14:paraId="32C521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普通高等教育本科及以上，取得学历相应学位。</w:t>
            </w:r>
          </w:p>
        </w:tc>
        <w:tc>
          <w:tcPr>
            <w:tcW w:w="1085" w:type="dxa"/>
            <w:tcBorders>
              <w:top w:val="single" w:color="000000" w:sz="4" w:space="0"/>
              <w:left w:val="single" w:color="000000" w:sz="4" w:space="0"/>
              <w:bottom w:val="single" w:color="auto" w:sz="4" w:space="0"/>
              <w:right w:val="single" w:color="000000" w:sz="4" w:space="0"/>
            </w:tcBorders>
            <w:vAlign w:val="center"/>
          </w:tcPr>
          <w:p w14:paraId="556B93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i w:val="0"/>
                <w:color w:val="000000"/>
                <w:kern w:val="0"/>
                <w:sz w:val="18"/>
                <w:szCs w:val="18"/>
                <w:highlight w:val="none"/>
                <w:u w:val="none"/>
                <w:lang w:val="en-US" w:eastAsia="zh-CN" w:bidi="ar"/>
              </w:rPr>
              <w:t>年龄35周岁（含）以下</w:t>
            </w:r>
          </w:p>
        </w:tc>
        <w:tc>
          <w:tcPr>
            <w:tcW w:w="6925" w:type="dxa"/>
            <w:tcBorders>
              <w:top w:val="single" w:color="000000" w:sz="4" w:space="0"/>
              <w:left w:val="single" w:color="000000" w:sz="4" w:space="0"/>
              <w:bottom w:val="single" w:color="auto" w:sz="4" w:space="0"/>
              <w:right w:val="single" w:color="000000" w:sz="4" w:space="0"/>
            </w:tcBorders>
            <w:vAlign w:val="center"/>
          </w:tcPr>
          <w:p w14:paraId="289E2878">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知识产权快速维权保护：</w:t>
            </w:r>
          </w:p>
          <w:p w14:paraId="511E868C">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1.快速维权。协助知识产权局查处假冒专利行为、调解专利纠纷；对接大型电子商务平台，构建优势产业线上维权机制和专利保护合作机制，协助做好线上专利侵权判定咨询工作。</w:t>
            </w:r>
          </w:p>
          <w:p w14:paraId="0C221076">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2.举报投诉。开通12330知识产权举报投诉热线电话，对接全国知识产权维权援助与举报投诉网络平台，建立举报投诉快速反应机制，实现快速移交、快速办理、快速反馈。</w:t>
            </w:r>
          </w:p>
          <w:p w14:paraId="443EA606">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3.海外维权。在知识产权局的领导下，建立海外知识产权维权专家库，推动设立专项基金，支持鼓励企业积极应对海外知识产权纠纷，为企业海外参展提供知识产权快速维权服务。</w:t>
            </w:r>
          </w:p>
          <w:p w14:paraId="5949EF8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4.加大对失信行为惩戒力度。建立产业知识产权失信</w:t>
            </w:r>
            <w:r>
              <w:rPr>
                <w:rFonts w:hint="eastAsia" w:ascii="Times New Roman" w:hAnsi="Times New Roman" w:eastAsia="方正小标宋_GBK" w:cs="Times New Roman"/>
                <w:i w:val="0"/>
                <w:color w:val="auto"/>
                <w:kern w:val="0"/>
                <w:sz w:val="18"/>
                <w:szCs w:val="18"/>
                <w:u w:val="none"/>
                <w:lang w:val="en-US" w:eastAsia="zh-CN" w:bidi="ar"/>
              </w:rPr>
              <w:t>“</w:t>
            </w:r>
            <w:r>
              <w:rPr>
                <w:rFonts w:hint="default" w:ascii="Times New Roman" w:hAnsi="Times New Roman" w:eastAsia="方正小标宋_GBK" w:cs="Times New Roman"/>
                <w:i w:val="0"/>
                <w:color w:val="auto"/>
                <w:kern w:val="0"/>
                <w:sz w:val="18"/>
                <w:szCs w:val="18"/>
                <w:u w:val="none"/>
                <w:lang w:val="en-US" w:eastAsia="zh-CN" w:bidi="ar"/>
              </w:rPr>
              <w:t>黑名单</w:t>
            </w:r>
            <w:r>
              <w:rPr>
                <w:rFonts w:hint="eastAsia" w:ascii="Times New Roman" w:hAnsi="Times New Roman" w:eastAsia="方正小标宋_GBK" w:cs="Times New Roman"/>
                <w:i w:val="0"/>
                <w:color w:val="auto"/>
                <w:kern w:val="0"/>
                <w:sz w:val="18"/>
                <w:szCs w:val="18"/>
                <w:u w:val="none"/>
                <w:lang w:val="en-US" w:eastAsia="zh-CN" w:bidi="ar"/>
              </w:rPr>
              <w:t>”</w:t>
            </w:r>
            <w:r>
              <w:rPr>
                <w:rFonts w:hint="default" w:ascii="Times New Roman" w:hAnsi="Times New Roman" w:eastAsia="方正小标宋_GBK" w:cs="Times New Roman"/>
                <w:i w:val="0"/>
                <w:color w:val="auto"/>
                <w:kern w:val="0"/>
                <w:sz w:val="18"/>
                <w:szCs w:val="18"/>
                <w:u w:val="none"/>
                <w:lang w:val="en-US" w:eastAsia="zh-CN" w:bidi="ar"/>
              </w:rPr>
              <w:t>，将存在重复侵权、拒不执行行政决定、连续提交非正常申请及违法违规从事专利代理者列入</w:t>
            </w:r>
            <w:r>
              <w:rPr>
                <w:rFonts w:hint="eastAsia" w:ascii="Times New Roman" w:hAnsi="Times New Roman" w:eastAsia="方正小标宋_GBK" w:cs="Times New Roman"/>
                <w:i w:val="0"/>
                <w:color w:val="auto"/>
                <w:kern w:val="0"/>
                <w:sz w:val="18"/>
                <w:szCs w:val="18"/>
                <w:u w:val="none"/>
                <w:lang w:val="en-US" w:eastAsia="zh-CN" w:bidi="ar"/>
              </w:rPr>
              <w:t>“</w:t>
            </w:r>
            <w:r>
              <w:rPr>
                <w:rFonts w:hint="default" w:ascii="Times New Roman" w:hAnsi="Times New Roman" w:eastAsia="方正小标宋_GBK" w:cs="Times New Roman"/>
                <w:i w:val="0"/>
                <w:color w:val="auto"/>
                <w:kern w:val="0"/>
                <w:sz w:val="18"/>
                <w:szCs w:val="18"/>
                <w:u w:val="none"/>
                <w:lang w:val="en-US" w:eastAsia="zh-CN" w:bidi="ar"/>
              </w:rPr>
              <w:t>黑名单</w:t>
            </w:r>
            <w:r>
              <w:rPr>
                <w:rFonts w:hint="eastAsia" w:ascii="Times New Roman" w:hAnsi="Times New Roman" w:eastAsia="方正小标宋_GBK" w:cs="Times New Roman"/>
                <w:i w:val="0"/>
                <w:color w:val="auto"/>
                <w:kern w:val="0"/>
                <w:sz w:val="18"/>
                <w:szCs w:val="18"/>
                <w:u w:val="none"/>
                <w:lang w:val="en-US" w:eastAsia="zh-CN" w:bidi="ar"/>
              </w:rPr>
              <w:t>”</w:t>
            </w:r>
            <w:r>
              <w:rPr>
                <w:rFonts w:hint="default" w:ascii="Times New Roman" w:hAnsi="Times New Roman" w:eastAsia="方正小标宋_GBK" w:cs="Times New Roman"/>
                <w:i w:val="0"/>
                <w:color w:val="auto"/>
                <w:kern w:val="0"/>
                <w:sz w:val="18"/>
                <w:szCs w:val="18"/>
                <w:u w:val="none"/>
                <w:lang w:val="en-US" w:eastAsia="zh-CN" w:bidi="ar"/>
              </w:rPr>
              <w:t>，在一定时间内禁止其通过快速审查通道申请专利。</w:t>
            </w:r>
          </w:p>
          <w:p w14:paraId="6EC3D6DD">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5.执法保护协作配合知识产权局加强与公安、工商、版权、海关等相关部门的执法协作，强化优势产业的知识产权保护信息沟通、风险研判和办案协作等机制，配合开展联合执法行动，有效打击知识产权侵权假冒行为。</w:t>
            </w:r>
          </w:p>
          <w:p w14:paraId="75A5CF66">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6.与司法衔接。积极推进建立专利侵权案件行政调处前置制度、诉中委托调解制度和专利纠纷行政调解协议司法确认制度，推进设立知识产权巡回审判法庭。</w:t>
            </w:r>
          </w:p>
          <w:p w14:paraId="232CF449">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auto"/>
                <w:kern w:val="0"/>
                <w:sz w:val="18"/>
                <w:szCs w:val="18"/>
                <w:u w:val="none"/>
                <w:lang w:val="en-US" w:eastAsia="zh-CN" w:bidi="ar"/>
              </w:rPr>
              <w:t>7.促进社会调解与仲裁。有序推进与各类社会调解及仲裁机构的合作，形成多途径保护知识产权的合力，协同化解各类知识产权纠纷。</w:t>
            </w:r>
          </w:p>
        </w:tc>
        <w:tc>
          <w:tcPr>
            <w:tcW w:w="1138" w:type="dxa"/>
            <w:tcBorders>
              <w:top w:val="single" w:color="000000" w:sz="4" w:space="0"/>
              <w:left w:val="single" w:color="000000" w:sz="4" w:space="0"/>
              <w:bottom w:val="single" w:color="000000" w:sz="4" w:space="0"/>
              <w:right w:val="single" w:color="000000" w:sz="4" w:space="0"/>
            </w:tcBorders>
            <w:vAlign w:val="center"/>
          </w:tcPr>
          <w:p w14:paraId="79F3D3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不高于13万元/人/年（含五险一金）</w:t>
            </w:r>
          </w:p>
        </w:tc>
      </w:tr>
      <w:tr w14:paraId="193A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1"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7CBB0C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生物医药专利保护辅助人员</w:t>
            </w:r>
          </w:p>
        </w:tc>
        <w:tc>
          <w:tcPr>
            <w:tcW w:w="613" w:type="dxa"/>
            <w:tcBorders>
              <w:top w:val="single" w:color="000000" w:sz="4" w:space="0"/>
              <w:left w:val="single" w:color="000000" w:sz="4" w:space="0"/>
              <w:bottom w:val="single" w:color="000000" w:sz="4" w:space="0"/>
              <w:right w:val="single" w:color="000000" w:sz="4" w:space="0"/>
            </w:tcBorders>
            <w:vAlign w:val="center"/>
          </w:tcPr>
          <w:p w14:paraId="01B61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lang w:val="en-US" w:eastAsia="zh-CN"/>
              </w:rPr>
            </w:pPr>
            <w:r>
              <w:rPr>
                <w:rFonts w:hint="eastAsia" w:ascii="Times New Roman" w:hAnsi="Times New Roman" w:eastAsia="方正小标宋_GBK" w:cs="Times New Roman"/>
                <w:i w:val="0"/>
                <w:color w:val="000000"/>
                <w:sz w:val="18"/>
                <w:szCs w:val="18"/>
                <w:highlight w:val="none"/>
                <w:u w:val="none"/>
                <w:lang w:val="en-US" w:eastAsia="zh-CN"/>
              </w:rPr>
              <w:t>1</w:t>
            </w:r>
          </w:p>
        </w:tc>
        <w:tc>
          <w:tcPr>
            <w:tcW w:w="3550" w:type="dxa"/>
            <w:tcBorders>
              <w:top w:val="single" w:color="000000" w:sz="4" w:space="0"/>
              <w:left w:val="single" w:color="000000" w:sz="4" w:space="0"/>
              <w:bottom w:val="single" w:color="000000" w:sz="4" w:space="0"/>
              <w:right w:val="single" w:color="000000" w:sz="4" w:space="0"/>
            </w:tcBorders>
            <w:vAlign w:val="center"/>
          </w:tcPr>
          <w:p w14:paraId="00B543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b/>
                <w:bCs/>
                <w:i w:val="0"/>
                <w:color w:val="000000"/>
                <w:kern w:val="0"/>
                <w:sz w:val="18"/>
                <w:szCs w:val="18"/>
                <w:highlight w:val="none"/>
                <w:u w:val="none"/>
                <w:lang w:val="en-US" w:eastAsia="zh-CN" w:bidi="ar"/>
              </w:rPr>
              <w:t>本科：</w:t>
            </w:r>
            <w:r>
              <w:rPr>
                <w:rFonts w:hint="eastAsia" w:ascii="Times New Roman" w:hAnsi="Times New Roman" w:eastAsia="方正小标宋_GBK" w:cs="Times New Roman"/>
                <w:b w:val="0"/>
                <w:bCs w:val="0"/>
                <w:i w:val="0"/>
                <w:color w:val="000000"/>
                <w:kern w:val="0"/>
                <w:sz w:val="18"/>
                <w:szCs w:val="18"/>
                <w:highlight w:val="none"/>
                <w:u w:val="none"/>
                <w:lang w:val="en-US" w:eastAsia="zh-CN" w:bidi="ar"/>
              </w:rPr>
              <w:t>100701</w:t>
            </w:r>
            <w:r>
              <w:rPr>
                <w:rFonts w:hint="default" w:ascii="Times New Roman" w:hAnsi="Times New Roman" w:eastAsia="方正小标宋_GBK" w:cs="Times New Roman"/>
                <w:i w:val="0"/>
                <w:color w:val="000000"/>
                <w:kern w:val="0"/>
                <w:sz w:val="18"/>
                <w:szCs w:val="18"/>
                <w:highlight w:val="none"/>
                <w:u w:val="none"/>
                <w:lang w:val="en-US" w:eastAsia="zh-CN" w:bidi="ar"/>
              </w:rPr>
              <w:t>药学；</w:t>
            </w:r>
            <w:r>
              <w:rPr>
                <w:rFonts w:hint="eastAsia" w:ascii="Times New Roman" w:hAnsi="Times New Roman" w:eastAsia="方正小标宋_GBK" w:cs="Times New Roman"/>
                <w:i w:val="0"/>
                <w:color w:val="000000"/>
                <w:kern w:val="0"/>
                <w:sz w:val="18"/>
                <w:szCs w:val="18"/>
                <w:highlight w:val="none"/>
                <w:u w:val="none"/>
                <w:lang w:val="en-US" w:eastAsia="zh-CN" w:bidi="ar"/>
              </w:rPr>
              <w:t>071001</w:t>
            </w:r>
            <w:r>
              <w:rPr>
                <w:rFonts w:hint="default" w:ascii="Times New Roman" w:hAnsi="Times New Roman" w:eastAsia="方正小标宋_GBK" w:cs="Times New Roman"/>
                <w:i w:val="0"/>
                <w:color w:val="000000"/>
                <w:kern w:val="0"/>
                <w:sz w:val="18"/>
                <w:szCs w:val="18"/>
                <w:highlight w:val="none"/>
                <w:u w:val="none"/>
                <w:lang w:val="en-US" w:eastAsia="zh-CN" w:bidi="ar"/>
              </w:rPr>
              <w:t>生物</w:t>
            </w:r>
            <w:r>
              <w:rPr>
                <w:rFonts w:hint="eastAsia" w:ascii="Times New Roman" w:hAnsi="Times New Roman" w:eastAsia="方正小标宋_GBK" w:cs="Times New Roman"/>
                <w:i w:val="0"/>
                <w:color w:val="000000"/>
                <w:kern w:val="0"/>
                <w:sz w:val="18"/>
                <w:szCs w:val="18"/>
                <w:highlight w:val="none"/>
                <w:u w:val="none"/>
                <w:lang w:val="en-US" w:eastAsia="zh-CN" w:bidi="ar"/>
              </w:rPr>
              <w:t>科</w:t>
            </w:r>
            <w:r>
              <w:rPr>
                <w:rFonts w:hint="default" w:ascii="Times New Roman" w:hAnsi="Times New Roman" w:eastAsia="方正小标宋_GBK" w:cs="Times New Roman"/>
                <w:i w:val="0"/>
                <w:color w:val="000000"/>
                <w:kern w:val="0"/>
                <w:sz w:val="18"/>
                <w:szCs w:val="18"/>
                <w:highlight w:val="none"/>
                <w:u w:val="none"/>
                <w:lang w:val="en-US" w:eastAsia="zh-CN" w:bidi="ar"/>
              </w:rPr>
              <w:t>学；</w:t>
            </w:r>
            <w:r>
              <w:rPr>
                <w:rFonts w:hint="eastAsia" w:ascii="Times New Roman" w:hAnsi="Times New Roman" w:eastAsia="方正小标宋_GBK" w:cs="Times New Roman"/>
                <w:i w:val="0"/>
                <w:color w:val="000000"/>
                <w:kern w:val="0"/>
                <w:sz w:val="18"/>
                <w:szCs w:val="18"/>
                <w:highlight w:val="none"/>
                <w:u w:val="none"/>
                <w:lang w:val="en-US" w:eastAsia="zh-CN" w:bidi="ar"/>
              </w:rPr>
              <w:t>0703</w:t>
            </w:r>
            <w:r>
              <w:rPr>
                <w:rFonts w:hint="default" w:ascii="Times New Roman" w:hAnsi="Times New Roman" w:eastAsia="方正小标宋_GBK" w:cs="Times New Roman"/>
                <w:i w:val="0"/>
                <w:color w:val="000000"/>
                <w:kern w:val="0"/>
                <w:sz w:val="18"/>
                <w:szCs w:val="18"/>
                <w:highlight w:val="none"/>
                <w:u w:val="none"/>
                <w:lang w:val="en-US" w:eastAsia="zh-CN" w:bidi="ar"/>
              </w:rPr>
              <w:t>化学</w:t>
            </w:r>
            <w:r>
              <w:rPr>
                <w:rFonts w:hint="eastAsia" w:ascii="Times New Roman" w:hAnsi="Times New Roman" w:eastAsia="方正小标宋_GBK" w:cs="Times New Roman"/>
                <w:i w:val="0"/>
                <w:color w:val="000000"/>
                <w:kern w:val="0"/>
                <w:sz w:val="18"/>
                <w:szCs w:val="18"/>
                <w:highlight w:val="none"/>
                <w:u w:val="none"/>
                <w:lang w:val="en-US" w:eastAsia="zh-CN" w:bidi="ar"/>
              </w:rPr>
              <w:t>。</w:t>
            </w:r>
          </w:p>
          <w:p w14:paraId="550051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b/>
                <w:bCs/>
                <w:i w:val="0"/>
                <w:color w:val="000000"/>
                <w:kern w:val="0"/>
                <w:sz w:val="18"/>
                <w:szCs w:val="18"/>
                <w:highlight w:val="none"/>
                <w:u w:val="none"/>
                <w:lang w:val="en-US" w:eastAsia="zh-CN" w:bidi="ar"/>
              </w:rPr>
              <w:t>研究生：</w:t>
            </w:r>
            <w:r>
              <w:rPr>
                <w:rFonts w:hint="eastAsia" w:ascii="Times New Roman" w:hAnsi="Times New Roman" w:eastAsia="方正小标宋_GBK" w:cs="Times New Roman"/>
                <w:i w:val="0"/>
                <w:color w:val="000000"/>
                <w:kern w:val="0"/>
                <w:sz w:val="18"/>
                <w:szCs w:val="18"/>
                <w:highlight w:val="none"/>
                <w:u w:val="none"/>
                <w:lang w:val="en-US" w:eastAsia="zh-CN" w:bidi="ar"/>
              </w:rPr>
              <w:t>1007</w:t>
            </w:r>
            <w:r>
              <w:rPr>
                <w:rFonts w:hint="default" w:ascii="Times New Roman" w:hAnsi="Times New Roman" w:eastAsia="方正小标宋_GBK" w:cs="Times New Roman"/>
                <w:i w:val="0"/>
                <w:color w:val="000000"/>
                <w:kern w:val="0"/>
                <w:sz w:val="18"/>
                <w:szCs w:val="18"/>
                <w:highlight w:val="none"/>
                <w:u w:val="none"/>
                <w:lang w:val="en-US" w:eastAsia="zh-CN" w:bidi="ar"/>
              </w:rPr>
              <w:t>药学；</w:t>
            </w:r>
            <w:r>
              <w:rPr>
                <w:rFonts w:hint="eastAsia" w:ascii="Times New Roman" w:hAnsi="Times New Roman" w:eastAsia="方正小标宋_GBK" w:cs="Times New Roman"/>
                <w:i w:val="0"/>
                <w:color w:val="000000"/>
                <w:kern w:val="0"/>
                <w:sz w:val="18"/>
                <w:szCs w:val="18"/>
                <w:highlight w:val="none"/>
                <w:u w:val="none"/>
                <w:lang w:val="en-US" w:eastAsia="zh-CN" w:bidi="ar"/>
              </w:rPr>
              <w:t>0710生物学；0703</w:t>
            </w:r>
            <w:bookmarkStart w:id="0" w:name="_GoBack"/>
            <w:bookmarkEnd w:id="0"/>
            <w:r>
              <w:rPr>
                <w:rFonts w:hint="default" w:ascii="Times New Roman" w:hAnsi="Times New Roman" w:eastAsia="方正小标宋_GBK" w:cs="Times New Roman"/>
                <w:i w:val="0"/>
                <w:color w:val="000000"/>
                <w:kern w:val="0"/>
                <w:sz w:val="18"/>
                <w:szCs w:val="18"/>
                <w:highlight w:val="none"/>
                <w:u w:val="none"/>
                <w:lang w:val="en-US" w:eastAsia="zh-CN" w:bidi="ar"/>
              </w:rPr>
              <w:t>化学；</w:t>
            </w:r>
            <w:r>
              <w:rPr>
                <w:rFonts w:hint="eastAsia" w:ascii="Times New Roman" w:hAnsi="Times New Roman" w:eastAsia="方正小标宋_GBK" w:cs="Times New Roman"/>
                <w:i w:val="0"/>
                <w:color w:val="000000"/>
                <w:kern w:val="0"/>
                <w:sz w:val="18"/>
                <w:szCs w:val="18"/>
                <w:highlight w:val="none"/>
                <w:u w:val="none"/>
                <w:lang w:val="en-US" w:eastAsia="zh-CN" w:bidi="ar"/>
              </w:rPr>
              <w:t>0817</w:t>
            </w:r>
            <w:r>
              <w:rPr>
                <w:rFonts w:hint="default" w:ascii="Times New Roman" w:hAnsi="Times New Roman" w:eastAsia="方正小标宋_GBK" w:cs="Times New Roman"/>
                <w:i w:val="0"/>
                <w:color w:val="000000"/>
                <w:kern w:val="0"/>
                <w:sz w:val="18"/>
                <w:szCs w:val="18"/>
                <w:highlight w:val="none"/>
                <w:u w:val="none"/>
                <w:lang w:val="en-US" w:eastAsia="zh-CN" w:bidi="ar"/>
              </w:rPr>
              <w:t>化学工程与技术</w:t>
            </w:r>
            <w:r>
              <w:rPr>
                <w:rFonts w:hint="eastAsia" w:ascii="Times New Roman" w:hAnsi="Times New Roman" w:eastAsia="方正小标宋_GBK" w:cs="Times New Roman"/>
                <w:i w:val="0"/>
                <w:color w:val="000000"/>
                <w:kern w:val="0"/>
                <w:sz w:val="18"/>
                <w:szCs w:val="18"/>
                <w:highlight w:val="none"/>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vAlign w:val="center"/>
          </w:tcPr>
          <w:p w14:paraId="30B20E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000000"/>
                <w:kern w:val="0"/>
                <w:sz w:val="18"/>
                <w:szCs w:val="18"/>
                <w:highlight w:val="none"/>
                <w:u w:val="none"/>
                <w:lang w:val="en-US" w:eastAsia="zh-CN" w:bidi="ar"/>
              </w:rPr>
              <w:t>普通高等教育本科及以上，取得学历相应学位。</w:t>
            </w:r>
          </w:p>
        </w:tc>
        <w:tc>
          <w:tcPr>
            <w:tcW w:w="1085" w:type="dxa"/>
            <w:tcBorders>
              <w:top w:val="single" w:color="000000" w:sz="4" w:space="0"/>
              <w:left w:val="single" w:color="000000" w:sz="4" w:space="0"/>
              <w:bottom w:val="single" w:color="000000" w:sz="4" w:space="0"/>
              <w:right w:val="single" w:color="000000" w:sz="4" w:space="0"/>
            </w:tcBorders>
            <w:vAlign w:val="center"/>
          </w:tcPr>
          <w:p w14:paraId="5DA47A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i w:val="0"/>
                <w:color w:val="000000"/>
                <w:kern w:val="0"/>
                <w:sz w:val="18"/>
                <w:szCs w:val="18"/>
                <w:highlight w:val="none"/>
                <w:u w:val="none"/>
                <w:lang w:val="en-US" w:eastAsia="zh-CN" w:bidi="ar"/>
              </w:rPr>
              <w:t>年龄35周岁（含）以下</w:t>
            </w:r>
          </w:p>
        </w:tc>
        <w:tc>
          <w:tcPr>
            <w:tcW w:w="6925" w:type="dxa"/>
            <w:tcBorders>
              <w:top w:val="single" w:color="000000" w:sz="4" w:space="0"/>
              <w:left w:val="single" w:color="000000" w:sz="4" w:space="0"/>
              <w:bottom w:val="single" w:color="000000" w:sz="4" w:space="0"/>
              <w:right w:val="single" w:color="000000" w:sz="4" w:space="0"/>
            </w:tcBorders>
            <w:vAlign w:val="center"/>
          </w:tcPr>
          <w:p w14:paraId="312AC3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生物医药产业快速审查与确权：</w:t>
            </w:r>
          </w:p>
          <w:p w14:paraId="5D2761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1.对本地区生物医药产业拟请求加快的发明、实用新型、外观设计专利申请，开展预审服务。通过预审服务的专利请求，由国家知识产权局专利审查部门进行快速审查。</w:t>
            </w:r>
          </w:p>
          <w:p w14:paraId="737D79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2.对本地区生物医药产业拟请求的复审请求和无效宣告请求，开展预审服务，包括复审和无效请求的形式审查。</w:t>
            </w:r>
          </w:p>
          <w:p w14:paraId="58511C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3.对本地区生物医药产业拟请求的实用新型和外观设计专利评价报告请求，对申请材料的进行审核。</w:t>
            </w:r>
          </w:p>
        </w:tc>
        <w:tc>
          <w:tcPr>
            <w:tcW w:w="1138" w:type="dxa"/>
            <w:tcBorders>
              <w:top w:val="single" w:color="000000" w:sz="4" w:space="0"/>
              <w:left w:val="single" w:color="000000" w:sz="4" w:space="0"/>
              <w:bottom w:val="single" w:color="000000" w:sz="4" w:space="0"/>
              <w:right w:val="single" w:color="000000" w:sz="4" w:space="0"/>
            </w:tcBorders>
            <w:vAlign w:val="center"/>
          </w:tcPr>
          <w:p w14:paraId="7E8B81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不高于13万元/人/年（含五险一金）</w:t>
            </w:r>
          </w:p>
        </w:tc>
      </w:tr>
      <w:tr w14:paraId="5CAF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7A66BB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新材料专利保护辅助人员</w:t>
            </w:r>
          </w:p>
        </w:tc>
        <w:tc>
          <w:tcPr>
            <w:tcW w:w="613" w:type="dxa"/>
            <w:tcBorders>
              <w:top w:val="single" w:color="000000" w:sz="4" w:space="0"/>
              <w:left w:val="single" w:color="000000" w:sz="4" w:space="0"/>
              <w:bottom w:val="single" w:color="000000" w:sz="4" w:space="0"/>
              <w:right w:val="single" w:color="000000" w:sz="4" w:space="0"/>
            </w:tcBorders>
            <w:vAlign w:val="center"/>
          </w:tcPr>
          <w:p w14:paraId="73B8DA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lang w:val="en-US" w:eastAsia="zh-CN"/>
              </w:rPr>
            </w:pPr>
            <w:r>
              <w:rPr>
                <w:rFonts w:hint="eastAsia" w:ascii="Times New Roman" w:hAnsi="Times New Roman" w:eastAsia="方正小标宋_GBK" w:cs="Times New Roman"/>
                <w:i w:val="0"/>
                <w:color w:val="000000"/>
                <w:sz w:val="18"/>
                <w:szCs w:val="18"/>
                <w:highlight w:val="none"/>
                <w:u w:val="none"/>
                <w:lang w:val="en-US" w:eastAsia="zh-CN"/>
              </w:rPr>
              <w:t>1</w:t>
            </w:r>
          </w:p>
        </w:tc>
        <w:tc>
          <w:tcPr>
            <w:tcW w:w="3550" w:type="dxa"/>
            <w:tcBorders>
              <w:top w:val="single" w:color="000000" w:sz="4" w:space="0"/>
              <w:left w:val="single" w:color="000000" w:sz="4" w:space="0"/>
              <w:bottom w:val="single" w:color="000000" w:sz="4" w:space="0"/>
              <w:right w:val="single" w:color="000000" w:sz="4" w:space="0"/>
            </w:tcBorders>
            <w:vAlign w:val="center"/>
          </w:tcPr>
          <w:p w14:paraId="1EE252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b/>
                <w:bCs/>
                <w:i w:val="0"/>
                <w:color w:val="000000"/>
                <w:kern w:val="0"/>
                <w:sz w:val="18"/>
                <w:szCs w:val="18"/>
                <w:highlight w:val="none"/>
                <w:u w:val="none"/>
                <w:lang w:val="en-US" w:eastAsia="zh-CN" w:bidi="ar"/>
              </w:rPr>
              <w:t>本科：</w:t>
            </w:r>
            <w:r>
              <w:rPr>
                <w:rFonts w:hint="eastAsia" w:ascii="Times New Roman" w:hAnsi="Times New Roman" w:eastAsia="方正小标宋_GBK" w:cs="Times New Roman"/>
                <w:i w:val="0"/>
                <w:color w:val="000000"/>
                <w:kern w:val="0"/>
                <w:sz w:val="18"/>
                <w:szCs w:val="18"/>
                <w:highlight w:val="none"/>
                <w:u w:val="none"/>
                <w:lang w:val="en-US" w:eastAsia="zh-CN" w:bidi="ar"/>
              </w:rPr>
              <w:t>080401</w:t>
            </w:r>
            <w:r>
              <w:rPr>
                <w:rFonts w:hint="default" w:ascii="Times New Roman" w:hAnsi="Times New Roman" w:eastAsia="方正小标宋_GBK" w:cs="Times New Roman"/>
                <w:i w:val="0"/>
                <w:color w:val="000000"/>
                <w:kern w:val="0"/>
                <w:sz w:val="18"/>
                <w:szCs w:val="18"/>
                <w:highlight w:val="none"/>
                <w:u w:val="none"/>
                <w:lang w:val="en-US" w:eastAsia="zh-CN" w:bidi="ar"/>
              </w:rPr>
              <w:t>材料科学与工程；</w:t>
            </w:r>
            <w:r>
              <w:rPr>
                <w:rFonts w:hint="eastAsia" w:ascii="Times New Roman" w:hAnsi="Times New Roman" w:eastAsia="方正小标宋_GBK" w:cs="Times New Roman"/>
                <w:i w:val="0"/>
                <w:color w:val="000000"/>
                <w:kern w:val="0"/>
                <w:sz w:val="18"/>
                <w:szCs w:val="18"/>
                <w:highlight w:val="none"/>
                <w:u w:val="none"/>
                <w:lang w:val="en-US" w:eastAsia="zh-CN" w:bidi="ar"/>
              </w:rPr>
              <w:t>080404</w:t>
            </w:r>
            <w:r>
              <w:rPr>
                <w:rFonts w:hint="default" w:ascii="Times New Roman" w:hAnsi="Times New Roman" w:eastAsia="方正小标宋_GBK" w:cs="Times New Roman"/>
                <w:i w:val="0"/>
                <w:color w:val="000000"/>
                <w:kern w:val="0"/>
                <w:sz w:val="18"/>
                <w:szCs w:val="18"/>
                <w:highlight w:val="none"/>
                <w:u w:val="none"/>
                <w:lang w:val="en-US" w:eastAsia="zh-CN" w:bidi="ar"/>
              </w:rPr>
              <w:t>冶金工程；070301化学。</w:t>
            </w:r>
          </w:p>
          <w:p w14:paraId="4BF776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b/>
                <w:bCs/>
                <w:i w:val="0"/>
                <w:color w:val="000000"/>
                <w:kern w:val="0"/>
                <w:sz w:val="18"/>
                <w:szCs w:val="18"/>
                <w:highlight w:val="none"/>
                <w:u w:val="none"/>
                <w:lang w:val="en-US" w:eastAsia="zh-CN" w:bidi="ar"/>
              </w:rPr>
              <w:t>研究生：</w:t>
            </w:r>
            <w:r>
              <w:rPr>
                <w:rFonts w:hint="eastAsia" w:ascii="Times New Roman" w:hAnsi="Times New Roman" w:eastAsia="方正小标宋_GBK" w:cs="Times New Roman"/>
                <w:i w:val="0"/>
                <w:color w:val="000000"/>
                <w:kern w:val="0"/>
                <w:sz w:val="18"/>
                <w:szCs w:val="18"/>
                <w:highlight w:val="none"/>
                <w:u w:val="none"/>
                <w:lang w:val="en-US" w:eastAsia="zh-CN" w:bidi="ar"/>
              </w:rPr>
              <w:t>0805</w:t>
            </w:r>
            <w:r>
              <w:rPr>
                <w:rFonts w:hint="default" w:ascii="Times New Roman" w:hAnsi="Times New Roman" w:eastAsia="方正小标宋_GBK" w:cs="Times New Roman"/>
                <w:i w:val="0"/>
                <w:color w:val="000000"/>
                <w:kern w:val="0"/>
                <w:sz w:val="18"/>
                <w:szCs w:val="18"/>
                <w:highlight w:val="none"/>
                <w:u w:val="none"/>
                <w:lang w:val="en-US" w:eastAsia="zh-CN" w:bidi="ar"/>
              </w:rPr>
              <w:t>材料科学与工程；</w:t>
            </w:r>
            <w:r>
              <w:rPr>
                <w:rFonts w:hint="eastAsia" w:ascii="Times New Roman" w:hAnsi="Times New Roman" w:eastAsia="方正小标宋_GBK" w:cs="Times New Roman"/>
                <w:i w:val="0"/>
                <w:color w:val="000000"/>
                <w:kern w:val="0"/>
                <w:sz w:val="18"/>
                <w:szCs w:val="18"/>
                <w:highlight w:val="none"/>
                <w:u w:val="none"/>
                <w:lang w:val="en-US" w:eastAsia="zh-CN" w:bidi="ar"/>
              </w:rPr>
              <w:t>0806</w:t>
            </w:r>
            <w:r>
              <w:rPr>
                <w:rFonts w:hint="default" w:ascii="Times New Roman" w:hAnsi="Times New Roman" w:eastAsia="方正小标宋_GBK" w:cs="Times New Roman"/>
                <w:i w:val="0"/>
                <w:color w:val="000000"/>
                <w:kern w:val="0"/>
                <w:sz w:val="18"/>
                <w:szCs w:val="18"/>
                <w:highlight w:val="none"/>
                <w:u w:val="none"/>
                <w:lang w:val="en-US" w:eastAsia="zh-CN" w:bidi="ar"/>
              </w:rPr>
              <w:t>冶金工程；</w:t>
            </w:r>
            <w:r>
              <w:rPr>
                <w:rFonts w:hint="eastAsia" w:ascii="Times New Roman" w:hAnsi="Times New Roman" w:eastAsia="方正小标宋_GBK" w:cs="Times New Roman"/>
                <w:i w:val="0"/>
                <w:color w:val="000000"/>
                <w:kern w:val="0"/>
                <w:sz w:val="18"/>
                <w:szCs w:val="18"/>
                <w:highlight w:val="none"/>
                <w:u w:val="none"/>
                <w:lang w:val="en-US" w:eastAsia="zh-CN" w:bidi="ar"/>
              </w:rPr>
              <w:t>0703</w:t>
            </w:r>
            <w:r>
              <w:rPr>
                <w:rFonts w:hint="default" w:ascii="Times New Roman" w:hAnsi="Times New Roman" w:eastAsia="方正小标宋_GBK" w:cs="Times New Roman"/>
                <w:i w:val="0"/>
                <w:color w:val="000000"/>
                <w:kern w:val="0"/>
                <w:sz w:val="18"/>
                <w:szCs w:val="18"/>
                <w:highlight w:val="none"/>
                <w:u w:val="none"/>
                <w:lang w:val="en-US" w:eastAsia="zh-CN" w:bidi="ar"/>
              </w:rPr>
              <w:t>化学；</w:t>
            </w:r>
            <w:r>
              <w:rPr>
                <w:rFonts w:hint="eastAsia" w:ascii="Times New Roman" w:hAnsi="Times New Roman" w:eastAsia="方正小标宋_GBK" w:cs="Times New Roman"/>
                <w:i w:val="0"/>
                <w:color w:val="000000"/>
                <w:kern w:val="0"/>
                <w:sz w:val="18"/>
                <w:szCs w:val="18"/>
                <w:highlight w:val="none"/>
                <w:u w:val="none"/>
                <w:lang w:val="en-US" w:eastAsia="zh-CN" w:bidi="ar"/>
              </w:rPr>
              <w:t>0817</w:t>
            </w:r>
            <w:r>
              <w:rPr>
                <w:rFonts w:hint="default" w:ascii="Times New Roman" w:hAnsi="Times New Roman" w:eastAsia="方正小标宋_GBK" w:cs="Times New Roman"/>
                <w:i w:val="0"/>
                <w:color w:val="000000"/>
                <w:kern w:val="0"/>
                <w:sz w:val="18"/>
                <w:szCs w:val="18"/>
                <w:highlight w:val="none"/>
                <w:u w:val="none"/>
                <w:lang w:val="en-US" w:eastAsia="zh-CN" w:bidi="ar"/>
              </w:rPr>
              <w:t>化学工程与技术</w:t>
            </w:r>
            <w:r>
              <w:rPr>
                <w:rFonts w:hint="eastAsia" w:ascii="Times New Roman" w:hAnsi="Times New Roman" w:eastAsia="方正小标宋_GBK" w:cs="Times New Roman"/>
                <w:i w:val="0"/>
                <w:color w:val="000000"/>
                <w:kern w:val="0"/>
                <w:sz w:val="18"/>
                <w:szCs w:val="18"/>
                <w:highlight w:val="none"/>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vAlign w:val="center"/>
          </w:tcPr>
          <w:p w14:paraId="52E5A8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普通高等教育本科及以上，取得学历相应学位。</w:t>
            </w:r>
          </w:p>
        </w:tc>
        <w:tc>
          <w:tcPr>
            <w:tcW w:w="1085" w:type="dxa"/>
            <w:tcBorders>
              <w:top w:val="single" w:color="000000" w:sz="4" w:space="0"/>
              <w:left w:val="single" w:color="000000" w:sz="4" w:space="0"/>
              <w:bottom w:val="single" w:color="000000" w:sz="4" w:space="0"/>
              <w:right w:val="single" w:color="000000" w:sz="4" w:space="0"/>
            </w:tcBorders>
            <w:vAlign w:val="center"/>
          </w:tcPr>
          <w:p w14:paraId="5A05D8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eastAsia" w:ascii="Times New Roman" w:hAnsi="Times New Roman" w:eastAsia="方正小标宋_GBK" w:cs="Times New Roman"/>
                <w:i w:val="0"/>
                <w:color w:val="000000"/>
                <w:kern w:val="0"/>
                <w:sz w:val="18"/>
                <w:szCs w:val="18"/>
                <w:highlight w:val="none"/>
                <w:u w:val="none"/>
                <w:lang w:val="en-US" w:eastAsia="zh-CN" w:bidi="ar"/>
              </w:rPr>
              <w:t>年龄35周岁（含）以下</w:t>
            </w:r>
          </w:p>
        </w:tc>
        <w:tc>
          <w:tcPr>
            <w:tcW w:w="6925" w:type="dxa"/>
            <w:tcBorders>
              <w:top w:val="single" w:color="000000" w:sz="4" w:space="0"/>
              <w:left w:val="single" w:color="000000" w:sz="4" w:space="0"/>
              <w:bottom w:val="single" w:color="000000" w:sz="4" w:space="0"/>
              <w:right w:val="single" w:color="000000" w:sz="4" w:space="0"/>
            </w:tcBorders>
            <w:vAlign w:val="center"/>
          </w:tcPr>
          <w:p w14:paraId="3880B9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新材料产业快速审查与确权：</w:t>
            </w:r>
          </w:p>
          <w:p w14:paraId="014EE7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1.对本地区新材料产业拟请求加快的发明、实用新型、外观设计专利申请，开展预审服务。通过预审服务的专利请求，由国家知识产权局专利审查部门进行快速审查。</w:t>
            </w:r>
          </w:p>
          <w:p w14:paraId="126EC0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auto"/>
                <w:kern w:val="0"/>
                <w:sz w:val="18"/>
                <w:szCs w:val="18"/>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2.对本地区新材料产业拟请求的复审请求和无效宣告请求，开展预审服务，包括复审和无效请求的形式审查。</w:t>
            </w:r>
          </w:p>
          <w:p w14:paraId="2F77EB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kern w:val="0"/>
                <w:sz w:val="18"/>
                <w:szCs w:val="18"/>
                <w:highlight w:val="none"/>
                <w:u w:val="none"/>
                <w:lang w:val="en-US" w:eastAsia="zh-CN" w:bidi="ar"/>
              </w:rPr>
            </w:pPr>
            <w:r>
              <w:rPr>
                <w:rFonts w:hint="default" w:ascii="Times New Roman" w:hAnsi="Times New Roman" w:eastAsia="方正小标宋_GBK" w:cs="Times New Roman"/>
                <w:i w:val="0"/>
                <w:color w:val="auto"/>
                <w:kern w:val="0"/>
                <w:sz w:val="18"/>
                <w:szCs w:val="18"/>
                <w:u w:val="none"/>
                <w:lang w:val="en-US" w:eastAsia="zh-CN" w:bidi="ar"/>
              </w:rPr>
              <w:t>3.对本地区新材料产业拟请求的实用新型和外观设计专利评价报告请求，对申请材料的进行审核。</w:t>
            </w:r>
          </w:p>
        </w:tc>
        <w:tc>
          <w:tcPr>
            <w:tcW w:w="1138" w:type="dxa"/>
            <w:tcBorders>
              <w:top w:val="single" w:color="000000" w:sz="4" w:space="0"/>
              <w:left w:val="single" w:color="000000" w:sz="4" w:space="0"/>
              <w:bottom w:val="single" w:color="000000" w:sz="4" w:space="0"/>
              <w:right w:val="single" w:color="000000" w:sz="4" w:space="0"/>
            </w:tcBorders>
            <w:vAlign w:val="center"/>
          </w:tcPr>
          <w:p w14:paraId="69B5F4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方正小标宋_GBK" w:cs="Times New Roman"/>
                <w:i w:val="0"/>
                <w:color w:val="000000"/>
                <w:sz w:val="18"/>
                <w:szCs w:val="18"/>
                <w:highlight w:val="none"/>
                <w:u w:val="none"/>
              </w:rPr>
            </w:pPr>
            <w:r>
              <w:rPr>
                <w:rFonts w:hint="default" w:ascii="Times New Roman" w:hAnsi="Times New Roman" w:eastAsia="方正小标宋_GBK" w:cs="Times New Roman"/>
                <w:i w:val="0"/>
                <w:color w:val="000000"/>
                <w:kern w:val="0"/>
                <w:sz w:val="18"/>
                <w:szCs w:val="18"/>
                <w:highlight w:val="none"/>
                <w:u w:val="none"/>
                <w:lang w:val="en-US" w:eastAsia="zh-CN" w:bidi="ar"/>
              </w:rPr>
              <w:t>不高于13万元/人/年（含五险一金）</w:t>
            </w:r>
          </w:p>
        </w:tc>
      </w:tr>
    </w:tbl>
    <w:p w14:paraId="14D9A804"/>
    <w:p w14:paraId="6F8D9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48" w:afterAutospacing="0" w:line="348" w:lineRule="atLeast"/>
        <w:ind w:right="0"/>
        <w:textAlignment w:val="baseline"/>
        <w:rPr>
          <w:rFonts w:hint="eastAsia" w:ascii="Times New Roman" w:hAnsi="仿宋_GB2312" w:eastAsia="仿宋_GB2312" w:cs="Times New Roman"/>
          <w:color w:val="auto"/>
          <w:kern w:val="0"/>
          <w:sz w:val="32"/>
          <w:szCs w:val="32"/>
          <w:lang w:val="en-US" w:eastAsia="zh-CN"/>
        </w:rPr>
      </w:pPr>
    </w:p>
    <w:p w14:paraId="04C9CDD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95936"/>
    <w:rsid w:val="79C23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列出段落2"/>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1346</Words>
  <Characters>1474</Characters>
  <Lines>0</Lines>
  <Paragraphs>0</Paragraphs>
  <TotalTime>0</TotalTime>
  <ScaleCrop>false</ScaleCrop>
  <LinksUpToDate>false</LinksUpToDate>
  <CharactersWithSpaces>1477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chi</cp:lastModifiedBy>
  <dcterms:modified xsi:type="dcterms:W3CDTF">2024-12-27T05:48:37Z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418F7CD6D778473AA229530AECD5D253_12</vt:lpwstr>
  </property>
  <property fmtid="{D5CDD505-2E9C-101B-9397-08002B2CF9AE}" pid="4" name="KSOTemplateDocerSaveRecord">
    <vt:lpwstr>eyJoZGlkIjoiOTk1ZDliZjdkYzA2OTgxYmExOWYxNmMwYWJjOWEwODYiLCJ1c2VySWQiOiIxMjIxNzA1MTU4In0=</vt:lpwstr>
  </property>
</Properties>
</file>