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0" w:firstLineChars="100"/>
        <w:jc w:val="center"/>
        <w:textAlignment w:val="auto"/>
        <w:outlineLvl w:val="9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成都师范学院202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年高层次人才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需求表</w:t>
      </w:r>
    </w:p>
    <w:tbl>
      <w:tblPr>
        <w:tblStyle w:val="3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1298"/>
        <w:gridCol w:w="4932"/>
        <w:gridCol w:w="2128"/>
        <w:gridCol w:w="1210"/>
        <w:gridCol w:w="3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岗位类别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主要需求学科专业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学历学位/要求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引进名额</w:t>
            </w:r>
            <w:bookmarkStart w:id="0" w:name="_GoBack"/>
            <w:bookmarkEnd w:id="0"/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教育与心理学院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/行政管理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教育学、心理学、教育经济与管理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联系人：唐老师；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座机号码：028-66772780；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</w:t>
            </w:r>
            <w:r>
              <w:rPr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b w:val="0"/>
                <w:bCs/>
                <w:sz w:val="21"/>
                <w:szCs w:val="21"/>
              </w:rPr>
              <w:instrText xml:space="preserve"> HYPERLINK "mailto:464320296@qq.com" </w:instrText>
            </w:r>
            <w:r>
              <w:rPr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464320296@qq.com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物理与工程技术学院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、力学、光学工程、材料科学与工程、核科学与技术、电子科学与技术、控制科学与工程、信息与通信工程、车辆工程、土木工程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联系人：杨老师；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座机号码：028-66772014；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电子邮箱：511891798@qq.com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园艺学、作物学、植物保护、农业资源利用、林学、生物学、课程与教学论（生物）、化学、化学工程与技术、课程与教学论（化学）、食品科学与工程、制糖工程、发酵工程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联系人：刘老师；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座机号码：028-66772042；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电子邮箱：biosq@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vip.163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/行政管理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数学、计算机科学与技术、交通运输工程、会计学、应用经济学、世界经济、管理科学与工程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卢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5202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757927931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文学与新闻学院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/行政管理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比较文学与世界文学、新闻学、课程与教学论（中学语文）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联系人：邓老师；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座机号码：028-66054318；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电子邮箱：846462611@qq.com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/行政管理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法学、马克思主义理论、哲学（马克思主义哲学优先考虑）、中国史（中国近现代史方向优先考虑）、政治学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_GB2312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1.研究生学历且具有博士学位；2.硕士学位（须有副高级及以上职称）；3.原则上为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中共党员（含中共预备党员）。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联系人：石老师；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座机号码：028-66775239；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电子邮箱：spfstone@163.com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数学、经济学、统计学、管理学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联系人：牟老师；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座机号码：028-66772021；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电子邮箱：476622297@qq.com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、体育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1.研究生学历且具有博士学位；2.硕士学位（须有副高级及以上职称）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联系人：吴老师；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座机号码：028-66054306；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电子邮箱：cdwurp@qq.com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音乐、舞蹈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1.研究生学历且具有博士学位；2.硕士学位（须有副高级及以上职称）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联系人：岳老师 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座机号码：028-66775201；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电子邮箱：7892383@qq.com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史地与旅游学院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地图学与地理信息系统、人文地理学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、文物与博物馆、旅游管理、世界史、中国近现代史、课程教学论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联系人：张老师；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座机号码：028-66772061；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电子邮箱：1309872404@qq.com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英语语言文学、外国语言学及应用语言学、翻译学、文艺学、比较文学与世界文学、课程与教学论（英语方向）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联系人：邹老师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座机号码：028-66054310，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邮箱：196260764@qq.com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地球探测与信息技术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密码学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、艺术学、安全科学与工程、力学、系统科学、管理科学与工程、数学、物理学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联系人：匡老师；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座机号码：028-66772811；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910783413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@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qq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美术学（书法学）、设计学（环艺、景观园林）、民族学（中国少数民族艺术）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联系人：邹老师；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座机号码：028-66772080；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电子邮箱：1309288533@qq.com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9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研究生学历且具有博士学位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联系人：李老师；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座机号码：028—6677522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电子邮箱：lqscd@126.com</w:t>
            </w:r>
          </w:p>
        </w:tc>
      </w:tr>
    </w:tbl>
    <w:p>
      <w:pPr>
        <w:spacing w:line="460" w:lineRule="exact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备注：</w:t>
      </w:r>
    </w:p>
    <w:p>
      <w:pPr>
        <w:spacing w:line="46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1.上表所列为主要需求学科专业，未列入上表的学科专业，由学校研究决定。</w:t>
      </w:r>
    </w:p>
    <w:p>
      <w:pPr>
        <w:spacing w:line="46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2.一级学科和二级学科名称相同的，以一级学科解释，其他相关条件及要求详见学校招聘公告。</w:t>
      </w:r>
    </w:p>
    <w:p>
      <w:pPr>
        <w:spacing w:line="46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3.具有硕士学位和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副高级及以上</w:t>
      </w:r>
      <w:r>
        <w:rPr>
          <w:rFonts w:hint="eastAsia" w:ascii="仿宋" w:hAnsi="仿宋" w:eastAsia="仿宋" w:cs="仿宋"/>
          <w:b/>
          <w:bCs/>
          <w:sz w:val="24"/>
        </w:rPr>
        <w:t>专业技术职务任职资格且达到我校职称评审条例规定相应条件的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</w:rPr>
        <w:t>属于我校紧缺学科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专业</w:t>
      </w:r>
      <w:r>
        <w:rPr>
          <w:rFonts w:hint="eastAsia" w:ascii="仿宋" w:hAnsi="仿宋" w:eastAsia="仿宋" w:cs="仿宋"/>
          <w:b/>
          <w:bCs/>
          <w:sz w:val="24"/>
        </w:rPr>
        <w:t>所需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24"/>
        </w:rPr>
        <w:t>人才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实行“一事一议”，由学校研究决定。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707B7"/>
    <w:rsid w:val="176707B7"/>
    <w:rsid w:val="6C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1455</Words>
  <Characters>1828</Characters>
  <Lines>0</Lines>
  <Paragraphs>0</Paragraphs>
  <TotalTime>0</TotalTime>
  <ScaleCrop>false</ScaleCrop>
  <LinksUpToDate>false</LinksUpToDate>
  <CharactersWithSpaces>1829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2022-03-29T08:36:00Z</dcterms:created>
  <dc:creator>Penny1409212132</dc:creator>
  <cp:lastModifiedBy>Penny1409212132</cp:lastModifiedBy>
  <cp:lastPrinted>2022-03-29T08:38:48Z</cp:lastPrinted>
  <dcterms:modified xsi:type="dcterms:W3CDTF">2022-03-29T08:42:20Z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E1A3BDEBDD9540D1A8808F96B697F065</vt:lpwstr>
  </property>
</Properties>
</file>