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附件2</w:t>
      </w:r>
    </w:p>
    <w:p>
      <w:pPr>
        <w:pStyle w:val="3"/>
        <w:bidi w:val="0"/>
        <w:jc w:val="center"/>
      </w:pPr>
      <w:bookmarkStart w:id="0" w:name="_GoBack"/>
      <w:r>
        <w:t>教育部学历证书电子注册备案表（样本）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drawing>
          <wp:inline distT="0" distB="0" distL="114300" distR="114300">
            <wp:extent cx="5086985" cy="7200900"/>
            <wp:effectExtent l="0" t="0" r="18415" b="0"/>
            <wp:docPr id="41" name="图片 44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4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注：报名表后需附上学历证书电子注册备案表，如下（登录学信网：www.chsi.com.cn进行下载）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C482B8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C482B82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1B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2024-10-29T06:24:00Z</dcterms:created>
  <dc:creator>Administrator</dc:creator>
  <cp:lastModifiedBy>Administrator</cp:lastModifiedBy>
  <dcterms:modified xsi:type="dcterms:W3CDTF">2024-10-29T06:27:14Z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5230E008A3F64761B407B11B10064D83_13</vt:lpwstr>
  </property>
</Properties>
</file>