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宋体" w:hAnsi="宋体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仿宋简体" w:cs="方正仿宋简体"/>
          <w:b/>
          <w:bCs/>
          <w:sz w:val="33"/>
          <w:szCs w:val="33"/>
          <w:highlight w:val="none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雁江区国有企业公</w:t>
      </w:r>
      <w:r>
        <w:rPr>
          <w:rFonts w:hint="eastAsia" w:ascii="宋体" w:hAnsi="宋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开招聘人员岗位表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textAlignment w:val="baseline"/>
        <w:rPr>
          <w:rFonts w:hint="eastAsia" w:ascii="宋体" w:hAnsi="宋体"/>
          <w:lang w:val="en-US" w:eastAsia="zh-CN"/>
        </w:rPr>
      </w:pPr>
    </w:p>
    <w:tbl>
      <w:tblPr>
        <w:tblStyle w:val="4"/>
        <w:tblW w:w="13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504"/>
        <w:gridCol w:w="1146"/>
        <w:gridCol w:w="1003"/>
        <w:gridCol w:w="2099"/>
        <w:gridCol w:w="4992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  <w:tblHeader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岗位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val="en-US" w:eastAsia="zh-CN"/>
              </w:rPr>
              <w:t>数量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学历学位及</w:t>
            </w: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专  业</w:t>
            </w: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要求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专业职称及</w:t>
            </w: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工作经历</w:t>
            </w: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等相关</w:t>
            </w: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</w:rPr>
              <w:t>要求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snapToGrid w:val="0"/>
                <w:sz w:val="30"/>
                <w:szCs w:val="30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资阳市雁江建设投资集团有限公司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融资经理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本科及以上学历，学位不限，财务会计专业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2.须持会计初级及以上证书；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3.具有银行、基金、信托、证券、城投类企业投融资等2年及以上相关工作经验；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4.熟练掌握融资流程和专项业务流程，具有较强的财务建模、剖析能力，有较强的金融产品设计能力，能配合金融机构设计详尽的融资模式；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5.具备较好的职业道德，有责任心，形象气质好，谈吐大方；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6.拥有较丰富的融资渠道和业内人脉关系者优先；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7.中共党员和国企从业经验者优先。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财务管理部</w:t>
            </w:r>
          </w:p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会计岗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本科及以上学历；财务管理、会计、审计类相关专业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2.具有2年及以上相关工作经验，有央、国企工作经验者优先；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3.熟练掌握会计准则条款，熟悉财务管理内部控制原则并能灵巧运用于实质工作中；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5.持有初级及以上会计专业技术资格证书，具备较强的成本管理、风险控制和财务分析能力；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7.特别优秀者可适当放宽条件。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税务筹划主管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本科及以上学历；财务管理、会计、审计类相关专业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2.具有3年以上税务筹划岗位工作经验，具有大型集团企业、国有企业2年及以上税务筹划岗位工作经验优先；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3.具有扎实的税务专业知识、熟悉国家财税法律规范；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4.具备较好的职业判断能力和财税分析处理经验；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5.具有良好的沟通协调和抗压能力；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6.同等条件下，具有税务师、注册会计师证书者优先录取；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7.特别优秀可适当放宽年龄。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融资管理部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贷后管理岗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本科及以上学历；金融、经济、财务类相关专业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2.熟练掌握办公软件，如Word、Excel、PowerPoint等；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3.具有1年以上企业财务或投融资工作经验或财务、融资档案管理经验；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4.有良好的执行力，一定的抗压能力，能够接受工作中的挑战；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5.特别优秀者可适当放宽条件。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方正仿宋简体" w:cs="方正仿宋简体"/>
                <w:snapToGrid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融资管理部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方正仿宋简体" w:cs="方正仿宋简体"/>
                <w:snapToGrid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融资岗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本科及以上学历；会计、金融、经济类相关专业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2.熟练掌握投融资流程和专项业务流程，拥有较强的财务建模、剖析能力，有较强的金融产品设计能力，能配合金融机构设计详尽的融资模式；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3.拥有银行、基金、信托、证券、城投类企业投融资等2年及以上相关工作经验；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4.拥有较丰富的融资渠道和业内人脉关系者优先考虑；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5.具备较好的职业道德，有责任心，形象气质好，谈吐大方；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6.有1年以上国有企业相关工作经验优先，党员优先；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7.熟练运用WPS，熟悉函数应用；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8.特别优秀者可适当放宽条件。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能投公司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本科及以上学历；财务管理、会计、经济类相关专业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2.具有2年及以上出纳岗位相关工作经验；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3.熟悉财务报销结算流程，具备一定经济法、票据法相关知识；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5.能够熟练运用各项办公软件；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7.持有初级及以上会计专业技术资格证书；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8.已婚已育者优先考虑；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9.特别优秀者可适当放宽条件。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四川蜀雁发展投资集团有限公司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仟裕资管公司资产运营管理岗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本科及以上学历；市场营销、金融、管理类相关专业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2.具有2年及以上资产运营管理相关工作经验，有央、国企工作经验者优先；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3.具有资产实物管理、运营、盘活、谈判，不良资产开发，租赁市场调研的相关经验；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5.特别优秀者可适当放宽条件。</w:t>
            </w:r>
            <w:bookmarkStart w:id="0" w:name="_GoBack"/>
            <w:bookmarkEnd w:id="0"/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资阳市蜀乡金农投资集团有限公司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出纳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本科及以上学历，学位不限，财务管理、会计类相关专业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2.具有2年及以上相关工作经验，有央、国企工作经验者优先；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4.思维敏捷，接受能力强，能独立思考，善于总结工作经验；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5.持有初级及以上会计专业技术资格证书。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资阳市蜀乡金农投资集团有限公司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高级融资经理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本科及以上学历，学位不限，金融、经济、财务类相关专业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2.具有2年以上相关工作经验，对节能环保、农业、食品等相关行业有一定了解；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3.熟悉资本市场运作机制、投资工具和融资组合理论；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4.有成功落地、投后管理、退出的项目案例；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5.能够熟练使用办公软件和投资分析工具，有一定风险识别、控制的能力；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6.同等条件下，党员、有国企工作经验者优先；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7.特别优秀者，可放宽限制条件。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资阳市蜀乡金农投资集团有限公司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贷后管理岗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本科及以上学历，学位不限，经济类、金融类相关专业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2.3年以上企业财务或投融资工作经验；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3.熟悉国家金融、财务、经济及法律法规政策；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4.具备快速洞悉和处理数据的能力；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5.同等条件下，党员、有国企工作经验者优先；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6.特别优秀者，可放宽限制条件。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资阳市凯利建设投资有限责任公司</w:t>
            </w:r>
          </w:p>
        </w:tc>
        <w:tc>
          <w:tcPr>
            <w:tcW w:w="11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融资主管</w:t>
            </w:r>
          </w:p>
        </w:tc>
        <w:tc>
          <w:tcPr>
            <w:tcW w:w="10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本科及以上学历，会计、金融、经济类等相关专业</w:t>
            </w:r>
          </w:p>
        </w:tc>
        <w:tc>
          <w:tcPr>
            <w:tcW w:w="4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1.38周岁以下，具有3年相关工作经验，持有中级会计师或银行从业资格证书及以上相关证书；熟悉国家金融、信贷、财务有关政策法规和专业知识；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2.熟练掌握投融资流程和专项业务流程，拥有较强的财务建模、剖析能力，有较强的金融产品设计能力，能配合金融机构设计详尽的融资模式；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3.拥有银行、基金、信托、证券、城投类企业投融资、财务等2年以上相关工作经验；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4.拥有较丰富的融资渠道和业内人脉关系者优先考虑；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5.具备较好的职业道德，有责任心，形象气质好，谈吐大方；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6.有1年以上国有企业相关工作经验优先，党员优先；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7.具备较强的风险控制和财务分析等能力；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8.具备较好的职业道德，有责任心，形象气质好，谈吐大方；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9.中共党员和国企从业经验者优先。</w:t>
            </w:r>
          </w:p>
        </w:tc>
        <w:tc>
          <w:tcPr>
            <w:tcW w:w="13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简体" w:cs="方正仿宋简体"/>
                <w:snapToGrid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DY2NmNhOTc5OWYwMzFmMzEzYTJlZTNhZjE1MDIifQ=="/>
  </w:docVars>
  <w:rsids>
    <w:rsidRoot w:val="2FDA3DB1"/>
    <w:rsid w:val="10C54B77"/>
    <w:rsid w:val="15352877"/>
    <w:rsid w:val="279E140F"/>
    <w:rsid w:val="2FDA3DB1"/>
    <w:rsid w:val="692D6C1A"/>
    <w:rsid w:val="772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before="240" w:after="624" w:afterLines="200" w:line="1000" w:lineRule="exact"/>
      <w:jc w:val="center"/>
      <w:outlineLvl w:val="0"/>
    </w:pPr>
    <w:rPr>
      <w:rFonts w:ascii="方正大标宋_GBK" w:eastAsia="方正大标宋_GBK"/>
      <w:color w:val="000000"/>
      <w:sz w:val="72"/>
      <w:szCs w:val="72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2401</Words>
  <Characters>2516</Characters>
  <Lines>0</Lines>
  <Paragraphs>0</Paragraphs>
  <TotalTime>0</TotalTime>
  <ScaleCrop>false</ScaleCrop>
  <LinksUpToDate>false</LinksUpToDate>
  <CharactersWithSpaces>2518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2024-06-17T01:19:00Z</dcterms:created>
  <dc:creator>xxx</dc:creator>
  <cp:lastModifiedBy>xxx</cp:lastModifiedBy>
  <dcterms:modified xsi:type="dcterms:W3CDTF">2024-06-17T03:27:21Z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F4CB47D8914746CAAB3C2A148D05E519_11</vt:lpwstr>
  </property>
</Properties>
</file>