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黑体" w:eastAsia="黑体" w:cs="宋体"/>
          <w:spacing w:val="-6"/>
          <w:sz w:val="28"/>
          <w:szCs w:val="28"/>
        </w:rPr>
      </w:pPr>
      <w:r>
        <w:rPr>
          <w:rFonts w:hint="eastAsia" w:ascii="黑体" w:eastAsia="黑体" w:cs="宋体"/>
          <w:spacing w:val="-6"/>
          <w:sz w:val="28"/>
          <w:szCs w:val="28"/>
        </w:rPr>
        <w:t>四川省</w:t>
      </w:r>
      <w:r>
        <w:rPr>
          <w:rFonts w:hint="eastAsia" w:ascii="黑体" w:eastAsia="黑体" w:cs="宋体"/>
          <w:spacing w:val="-6"/>
          <w:sz w:val="28"/>
          <w:szCs w:val="28"/>
          <w:lang w:eastAsia="zh-CN"/>
        </w:rPr>
        <w:t>知识产权服务促进中心</w:t>
      </w:r>
      <w:r>
        <w:rPr>
          <w:rFonts w:hint="eastAsia" w:ascii="黑体" w:eastAsia="黑体" w:cs="宋体"/>
          <w:spacing w:val="-6"/>
          <w:sz w:val="28"/>
          <w:szCs w:val="28"/>
          <w:u w:val="none"/>
        </w:rPr>
        <w:t>直属事业单位</w:t>
      </w:r>
      <w:r>
        <w:rPr>
          <w:rFonts w:hint="eastAsia" w:ascii="黑体" w:eastAsia="黑体" w:cs="宋体"/>
          <w:spacing w:val="-6"/>
          <w:sz w:val="28"/>
          <w:szCs w:val="28"/>
        </w:rPr>
        <w:t>2020年1</w:t>
      </w:r>
      <w:r>
        <w:rPr>
          <w:rFonts w:ascii="黑体" w:eastAsia="黑体" w:cs="宋体"/>
          <w:spacing w:val="-6"/>
          <w:sz w:val="28"/>
          <w:szCs w:val="28"/>
        </w:rPr>
        <w:t>2</w:t>
      </w:r>
      <w:r>
        <w:rPr>
          <w:rFonts w:hint="eastAsia" w:ascii="黑体" w:eastAsia="黑体" w:cs="宋体"/>
          <w:spacing w:val="-6"/>
          <w:sz w:val="28"/>
          <w:szCs w:val="28"/>
        </w:rPr>
        <w:t>月公开招聘工作人员岗位和条件要求一览表</w:t>
      </w:r>
    </w:p>
    <w:p>
      <w:pPr>
        <w:spacing w:line="240" w:lineRule="exact"/>
        <w:jc w:val="center"/>
        <w:rPr>
          <w:rFonts w:hint="eastAsia" w:ascii="黑体" w:eastAsia="黑体" w:cs="宋体"/>
          <w:sz w:val="28"/>
          <w:szCs w:val="28"/>
          <w:shd w:val="pct10" w:color="auto" w:fill="FFFFFF"/>
        </w:rPr>
      </w:pPr>
    </w:p>
    <w:tbl>
      <w:tblPr>
        <w:tblStyle w:val="3"/>
        <w:tblW w:w="13187" w:type="dxa"/>
        <w:jc w:val="center"/>
        <w:tblLayout w:type="fixed"/>
        <w:tblCellMar>
          <w:top w:w="0" w:type="dxa"/>
          <w:left w:w="108" w:type="dxa"/>
          <w:bottom w:w="0" w:type="dxa"/>
          <w:right w:w="108" w:type="dxa"/>
        </w:tblCellMar>
      </w:tblPr>
      <w:tblGrid>
        <w:gridCol w:w="1227"/>
        <w:gridCol w:w="707"/>
        <w:gridCol w:w="707"/>
        <w:gridCol w:w="906"/>
        <w:gridCol w:w="734"/>
        <w:gridCol w:w="706"/>
        <w:gridCol w:w="1014"/>
        <w:gridCol w:w="746"/>
        <w:gridCol w:w="2427"/>
        <w:gridCol w:w="1107"/>
        <w:gridCol w:w="706"/>
        <w:gridCol w:w="734"/>
        <w:gridCol w:w="880"/>
        <w:gridCol w:w="586"/>
      </w:tblGrid>
      <w:tr>
        <w:tblPrEx>
          <w:tblCellMar>
            <w:top w:w="0" w:type="dxa"/>
            <w:left w:w="108" w:type="dxa"/>
            <w:bottom w:w="0" w:type="dxa"/>
            <w:right w:w="108" w:type="dxa"/>
          </w:tblCellMar>
        </w:tblPrEx>
        <w:trPr>
          <w:cantSplit/>
          <w:trHeight w:val="285" w:hRule="atLeast"/>
          <w:jc w:val="center"/>
        </w:trPr>
        <w:tc>
          <w:tcPr>
            <w:tcW w:w="122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招聘单位</w:t>
            </w:r>
          </w:p>
        </w:tc>
        <w:tc>
          <w:tcPr>
            <w:tcW w:w="1414"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1"/>
                <w:szCs w:val="21"/>
              </w:rPr>
            </w:pPr>
            <w:r>
              <w:rPr>
                <w:rFonts w:hint="eastAsia" w:ascii="仿宋" w:hAnsi="仿宋" w:eastAsia="仿宋" w:cs="仿宋"/>
                <w:sz w:val="21"/>
                <w:szCs w:val="21"/>
              </w:rPr>
              <w:t>招聘岗位</w:t>
            </w:r>
          </w:p>
        </w:tc>
        <w:tc>
          <w:tcPr>
            <w:tcW w:w="90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岗位</w:t>
            </w:r>
          </w:p>
          <w:p>
            <w:pPr>
              <w:jc w:val="center"/>
              <w:rPr>
                <w:rFonts w:hint="eastAsia" w:ascii="仿宋" w:hAnsi="仿宋" w:eastAsia="仿宋" w:cs="仿宋"/>
                <w:sz w:val="21"/>
                <w:szCs w:val="21"/>
              </w:rPr>
            </w:pPr>
            <w:r>
              <w:rPr>
                <w:rFonts w:hint="eastAsia" w:ascii="仿宋" w:hAnsi="仿宋" w:eastAsia="仿宋" w:cs="仿宋"/>
                <w:sz w:val="21"/>
                <w:szCs w:val="21"/>
              </w:rPr>
              <w:t>编码</w:t>
            </w:r>
          </w:p>
        </w:tc>
        <w:tc>
          <w:tcPr>
            <w:tcW w:w="734"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sz w:val="21"/>
                <w:szCs w:val="21"/>
              </w:rPr>
            </w:pPr>
            <w:r>
              <w:rPr>
                <w:rFonts w:hint="eastAsia" w:ascii="仿宋" w:hAnsi="仿宋" w:eastAsia="仿宋" w:cs="仿宋"/>
                <w:sz w:val="21"/>
                <w:szCs w:val="21"/>
              </w:rPr>
              <w:t>招聘人数</w:t>
            </w:r>
          </w:p>
        </w:tc>
        <w:tc>
          <w:tcPr>
            <w:tcW w:w="70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招聘</w:t>
            </w:r>
          </w:p>
          <w:p>
            <w:pPr>
              <w:jc w:val="center"/>
              <w:rPr>
                <w:rFonts w:hint="eastAsia" w:ascii="仿宋" w:hAnsi="仿宋" w:eastAsia="仿宋" w:cs="仿宋"/>
                <w:sz w:val="21"/>
                <w:szCs w:val="21"/>
              </w:rPr>
            </w:pPr>
            <w:r>
              <w:rPr>
                <w:rFonts w:hint="eastAsia" w:ascii="仿宋" w:hAnsi="仿宋" w:eastAsia="仿宋" w:cs="仿宋"/>
                <w:sz w:val="21"/>
                <w:szCs w:val="21"/>
              </w:rPr>
              <w:t>对象</w:t>
            </w:r>
          </w:p>
          <w:p>
            <w:pPr>
              <w:jc w:val="center"/>
              <w:rPr>
                <w:rFonts w:hint="eastAsia" w:ascii="仿宋" w:hAnsi="仿宋" w:eastAsia="仿宋" w:cs="仿宋"/>
                <w:sz w:val="21"/>
                <w:szCs w:val="21"/>
              </w:rPr>
            </w:pPr>
            <w:r>
              <w:rPr>
                <w:rFonts w:hint="eastAsia" w:ascii="仿宋" w:hAnsi="仿宋" w:eastAsia="仿宋" w:cs="仿宋"/>
                <w:sz w:val="21"/>
                <w:szCs w:val="21"/>
              </w:rPr>
              <w:t>范围</w:t>
            </w:r>
          </w:p>
        </w:tc>
        <w:tc>
          <w:tcPr>
            <w:tcW w:w="5294" w:type="dxa"/>
            <w:gridSpan w:val="4"/>
            <w:tcBorders>
              <w:top w:val="single" w:color="auto" w:sz="4" w:space="0"/>
              <w:left w:val="single" w:color="auto" w:sz="4" w:space="0"/>
              <w:bottom w:val="single" w:color="auto" w:sz="4" w:space="0"/>
              <w:right w:val="single" w:color="auto" w:sz="4" w:space="0"/>
            </w:tcBorders>
            <w:noWrap w:val="0"/>
            <w:vAlign w:val="center"/>
          </w:tcPr>
          <w:p>
            <w:pPr>
              <w:ind w:left="291"/>
              <w:jc w:val="center"/>
              <w:rPr>
                <w:rFonts w:hint="eastAsia" w:ascii="仿宋" w:hAnsi="仿宋" w:eastAsia="仿宋" w:cs="仿宋"/>
                <w:sz w:val="21"/>
                <w:szCs w:val="21"/>
              </w:rPr>
            </w:pPr>
            <w:r>
              <w:rPr>
                <w:rFonts w:hint="eastAsia" w:ascii="仿宋" w:hAnsi="仿宋" w:eastAsia="仿宋" w:cs="仿宋"/>
                <w:sz w:val="21"/>
                <w:szCs w:val="21"/>
              </w:rPr>
              <w:t>其他条件要求</w:t>
            </w:r>
          </w:p>
        </w:tc>
        <w:tc>
          <w:tcPr>
            <w:tcW w:w="70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笔试</w:t>
            </w:r>
          </w:p>
          <w:p>
            <w:pPr>
              <w:jc w:val="center"/>
              <w:rPr>
                <w:rFonts w:hint="eastAsia" w:ascii="仿宋" w:hAnsi="仿宋" w:eastAsia="仿宋" w:cs="仿宋"/>
                <w:sz w:val="21"/>
                <w:szCs w:val="21"/>
              </w:rPr>
            </w:pPr>
            <w:r>
              <w:rPr>
                <w:rFonts w:hint="eastAsia" w:ascii="仿宋" w:hAnsi="仿宋" w:eastAsia="仿宋" w:cs="仿宋"/>
                <w:sz w:val="21"/>
                <w:szCs w:val="21"/>
              </w:rPr>
              <w:t>开考比例</w:t>
            </w:r>
          </w:p>
        </w:tc>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公共科目笔试名称</w:t>
            </w:r>
          </w:p>
        </w:tc>
        <w:tc>
          <w:tcPr>
            <w:tcW w:w="88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专业笔试名称</w:t>
            </w:r>
          </w:p>
        </w:tc>
        <w:tc>
          <w:tcPr>
            <w:tcW w:w="58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备注</w:t>
            </w:r>
          </w:p>
        </w:tc>
      </w:tr>
      <w:tr>
        <w:tblPrEx>
          <w:tblCellMar>
            <w:top w:w="0" w:type="dxa"/>
            <w:left w:w="108" w:type="dxa"/>
            <w:bottom w:w="0" w:type="dxa"/>
            <w:right w:w="108" w:type="dxa"/>
          </w:tblCellMar>
        </w:tblPrEx>
        <w:trPr>
          <w:cantSplit/>
          <w:trHeight w:val="600" w:hRule="atLeast"/>
          <w:jc w:val="center"/>
        </w:trPr>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16"/>
              </w:rPr>
            </w:pPr>
          </w:p>
        </w:tc>
        <w:tc>
          <w:tcPr>
            <w:tcW w:w="70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 w:hAnsi="仿宋" w:eastAsia="仿宋" w:cs="仿宋"/>
                <w:sz w:val="20"/>
                <w:szCs w:val="20"/>
              </w:rPr>
            </w:pPr>
            <w:r>
              <w:rPr>
                <w:rFonts w:hint="eastAsia" w:ascii="仿宋" w:hAnsi="仿宋" w:eastAsia="仿宋" w:cs="仿宋"/>
                <w:sz w:val="21"/>
                <w:szCs w:val="21"/>
              </w:rPr>
              <w:t>岗位类别</w:t>
            </w:r>
          </w:p>
        </w:tc>
        <w:tc>
          <w:tcPr>
            <w:tcW w:w="7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岗位</w:t>
            </w:r>
          </w:p>
          <w:p>
            <w:pPr>
              <w:jc w:val="center"/>
              <w:rPr>
                <w:rFonts w:hint="eastAsia" w:ascii="仿宋" w:hAnsi="仿宋" w:eastAsia="仿宋" w:cs="仿宋"/>
                <w:sz w:val="20"/>
                <w:szCs w:val="20"/>
              </w:rPr>
            </w:pPr>
            <w:r>
              <w:rPr>
                <w:rFonts w:hint="eastAsia" w:ascii="仿宋" w:hAnsi="仿宋" w:eastAsia="仿宋" w:cs="仿宋"/>
                <w:sz w:val="21"/>
                <w:szCs w:val="21"/>
              </w:rPr>
              <w:t>名称</w:t>
            </w:r>
          </w:p>
        </w:tc>
        <w:tc>
          <w:tcPr>
            <w:tcW w:w="9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16"/>
              </w:rPr>
            </w:pPr>
          </w:p>
        </w:tc>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16"/>
              </w:rPr>
            </w:pPr>
          </w:p>
        </w:tc>
        <w:tc>
          <w:tcPr>
            <w:tcW w:w="7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16"/>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年龄</w:t>
            </w:r>
          </w:p>
        </w:tc>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学历</w:t>
            </w:r>
          </w:p>
          <w:p>
            <w:pPr>
              <w:jc w:val="center"/>
              <w:rPr>
                <w:rFonts w:hint="eastAsia" w:ascii="仿宋" w:hAnsi="仿宋" w:eastAsia="仿宋" w:cs="仿宋"/>
                <w:sz w:val="21"/>
                <w:szCs w:val="21"/>
              </w:rPr>
            </w:pPr>
            <w:r>
              <w:rPr>
                <w:rFonts w:hint="eastAsia" w:ascii="仿宋" w:hAnsi="仿宋" w:eastAsia="仿宋" w:cs="仿宋"/>
                <w:sz w:val="21"/>
                <w:szCs w:val="21"/>
              </w:rPr>
              <w:t>或学位</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专业条件要求</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其他</w:t>
            </w:r>
          </w:p>
        </w:tc>
        <w:tc>
          <w:tcPr>
            <w:tcW w:w="7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16"/>
              </w:rPr>
            </w:pPr>
          </w:p>
        </w:tc>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16"/>
              </w:rPr>
            </w:pPr>
          </w:p>
        </w:tc>
        <w:tc>
          <w:tcPr>
            <w:tcW w:w="88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16"/>
              </w:rPr>
            </w:pPr>
          </w:p>
        </w:tc>
        <w:tc>
          <w:tcPr>
            <w:tcW w:w="58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18"/>
                <w:szCs w:val="16"/>
              </w:rPr>
            </w:pPr>
          </w:p>
        </w:tc>
      </w:tr>
      <w:tr>
        <w:tblPrEx>
          <w:tblCellMar>
            <w:top w:w="0" w:type="dxa"/>
            <w:left w:w="108" w:type="dxa"/>
            <w:bottom w:w="0" w:type="dxa"/>
            <w:right w:w="108" w:type="dxa"/>
          </w:tblCellMar>
        </w:tblPrEx>
        <w:trPr>
          <w:cantSplit/>
          <w:trHeight w:val="600"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四川省知识产权保护中心</w:t>
            </w:r>
          </w:p>
        </w:tc>
        <w:tc>
          <w:tcPr>
            <w:tcW w:w="70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专技岗</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发明、实用新型预审岗位</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52010001</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3</w:t>
            </w:r>
          </w:p>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详见公告</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1985年1月1日（含）以后出生（博士学位放宽到1980年1月1日含以后）</w:t>
            </w:r>
          </w:p>
        </w:tc>
        <w:tc>
          <w:tcPr>
            <w:tcW w:w="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硕士研究生学历学位及以上</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力学、机械工程、光学工程、仪器科学与技术、材料科学与工程、冶金工程、动力工程与工程热物理、电气工程、电子科学与技术、信息与通信工程、控制科学与工程、计算机科学与技术、软件工程（本科为力学类机械类仪器类材料类能源动力类电气类电子信息类自动化类计算机类均符合）</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大学英语六级或考试成绩425分以上或具有相当水平（雅思考试6分及以上，托福考试80分及以上）</w:t>
            </w: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3:1</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综合知识</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科技英语</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p>
        </w:tc>
      </w:tr>
      <w:tr>
        <w:tblPrEx>
          <w:tblCellMar>
            <w:top w:w="0" w:type="dxa"/>
            <w:left w:w="108" w:type="dxa"/>
            <w:bottom w:w="0" w:type="dxa"/>
            <w:right w:w="108" w:type="dxa"/>
          </w:tblCellMar>
        </w:tblPrEx>
        <w:trPr>
          <w:cantSplit/>
          <w:trHeight w:val="600"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四川省知识产权保护中心</w:t>
            </w:r>
          </w:p>
        </w:tc>
        <w:tc>
          <w:tcPr>
            <w:tcW w:w="70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管理岗</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运营导航岗位</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52010002</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w:t>
            </w: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详见公告</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1985年1月1日（含）以后出生（博士学位放宽到1980年1月1日含以后）</w:t>
            </w:r>
          </w:p>
        </w:tc>
        <w:tc>
          <w:tcPr>
            <w:tcW w:w="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硕士研究生学历学位及以上</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力学、机械工程、光学工程、仪器科学与技术、材料科学与工程、冶金工程、动力工程与工程热物理、电气工程、电子科学与技术、信息与通信工程、控制科学与工程、计算机科学与技术、软件工程（本科为力学类机械类仪器类材料类能源动力类电气类电子信息类自动化类计算机类均符合）</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大学英语六级或考试成绩425分以上或具有相当水平（雅思考试6分及以上，托福考试80分及以上）</w:t>
            </w: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3:1</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综合知识</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科技英语</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p>
        </w:tc>
      </w:tr>
      <w:tr>
        <w:tblPrEx>
          <w:tblCellMar>
            <w:top w:w="0" w:type="dxa"/>
            <w:left w:w="108" w:type="dxa"/>
            <w:bottom w:w="0" w:type="dxa"/>
            <w:right w:w="108" w:type="dxa"/>
          </w:tblCellMar>
        </w:tblPrEx>
        <w:trPr>
          <w:cantSplit/>
          <w:trHeight w:val="600"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四川省知识产权保护中心</w:t>
            </w:r>
          </w:p>
        </w:tc>
        <w:tc>
          <w:tcPr>
            <w:tcW w:w="70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管理岗</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维权援助岗位</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52010003</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w:t>
            </w: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详见公告</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1985年1月1日（含）以后出生（博士学位放宽到1980年1月1日含以后）</w:t>
            </w:r>
          </w:p>
        </w:tc>
        <w:tc>
          <w:tcPr>
            <w:tcW w:w="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硕士研究生学历学位及以上</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力学、机械工程、光学工程、仪器科学与技术、材料科学与工程、冶金工程、动力工程与工程热物理、电气工程、电子科学与技术、信息与通信工程、控制科学与工程、计算机科学与技术、软件工程（考生在本科或研究生阶段为上述专业均符合）。</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大学英语六级或考试成绩425分以上或具有相当水平（雅思考试6分及以上，托福考试80分及以上）；取得《法律职业资格证书》或取得法学（法律</w:t>
            </w:r>
            <w:bookmarkStart w:id="0" w:name="_GoBack"/>
            <w:bookmarkEnd w:id="0"/>
            <w:r>
              <w:rPr>
                <w:rFonts w:hint="eastAsia" w:ascii="仿宋" w:hAnsi="仿宋" w:eastAsia="仿宋" w:cs="仿宋"/>
                <w:i w:val="0"/>
                <w:color w:val="000000"/>
                <w:kern w:val="0"/>
                <w:sz w:val="16"/>
                <w:szCs w:val="16"/>
                <w:u w:val="none"/>
                <w:lang w:val="en-US" w:eastAsia="zh-CN" w:bidi="ar"/>
              </w:rPr>
              <w:t>）学士及以上学位。</w:t>
            </w: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3:1</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综合知识</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科技英语</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p>
        </w:tc>
      </w:tr>
      <w:tr>
        <w:tblPrEx>
          <w:tblCellMar>
            <w:top w:w="0" w:type="dxa"/>
            <w:left w:w="108" w:type="dxa"/>
            <w:bottom w:w="0" w:type="dxa"/>
            <w:right w:w="108" w:type="dxa"/>
          </w:tblCellMar>
        </w:tblPrEx>
        <w:trPr>
          <w:cantSplit/>
          <w:trHeight w:val="600"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四川省知识产权保护中心</w:t>
            </w:r>
          </w:p>
        </w:tc>
        <w:tc>
          <w:tcPr>
            <w:tcW w:w="70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管理岗</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自动化管理岗位</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52010004</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w:t>
            </w: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详见公告</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1985年1月1日（含）以后出生（博士学位放宽到1980年1月1日含以后）</w:t>
            </w:r>
          </w:p>
        </w:tc>
        <w:tc>
          <w:tcPr>
            <w:tcW w:w="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本科及以上</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本科：计算机科学与技术、网络工程、信息安全。              研究生：计算机系统结构、计算机软件、计算机应用技术。</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大学英语四级或考试成绩425分以上或具有相当水平</w:t>
            </w:r>
          </w:p>
        </w:tc>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3:1</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综合知识</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科技英语</w:t>
            </w:r>
          </w:p>
        </w:tc>
        <w:tc>
          <w:tcPr>
            <w:tcW w:w="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p>
        </w:tc>
      </w:tr>
    </w:tbl>
    <w:p>
      <w:pPr>
        <w:spacing w:line="240" w:lineRule="exact"/>
        <w:rPr>
          <w:rFonts w:hint="eastAsia" w:ascii="楷体_GB2312" w:eastAsia="楷体_GB2312"/>
          <w:sz w:val="24"/>
          <w:szCs w:val="24"/>
        </w:rPr>
      </w:pPr>
    </w:p>
    <w:p>
      <w:pPr>
        <w:rPr>
          <w:dstrike/>
        </w:rPr>
      </w:pPr>
      <w:r>
        <w:rPr>
          <w:rFonts w:hint="eastAsia" w:ascii="楷体_GB2312" w:eastAsia="楷体_GB2312"/>
          <w:sz w:val="24"/>
          <w:szCs w:val="24"/>
        </w:rPr>
        <w:t>注：1、本表各岗位相关的其他条件及要求请见本公告正文；2、报考者本人有效学位证所载学位应与拟报考岗位的“学位”资格要求相符；报考者本人有效的毕业证所载学历和专业名称，应与拟报考岗位的“学历”和“专业条件要求”两栏分别相符。</w:t>
      </w:r>
    </w:p>
    <w:p/>
    <w:sectPr>
      <w:pgSz w:w="14572" w:h="10319" w:orient="landscape"/>
      <w:pgMar w:top="1588" w:right="1361" w:bottom="1418" w:left="1361" w:header="851" w:footer="153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C53FA"/>
    <w:rsid w:val="08535709"/>
    <w:rsid w:val="1BFE24F4"/>
    <w:rsid w:val="1C7E27B2"/>
    <w:rsid w:val="1EFB1178"/>
    <w:rsid w:val="26496273"/>
    <w:rsid w:val="381061DD"/>
    <w:rsid w:val="38DD1A0A"/>
    <w:rsid w:val="457516B0"/>
    <w:rsid w:val="4BCC53FA"/>
    <w:rsid w:val="4C9506C1"/>
    <w:rsid w:val="4FB5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pPr>
    <w:rPr>
      <w:rFonts w:ascii="Times New Roman" w:hAnsi="Times New Roman" w:eastAsia="宋体" w:cs="Times New Roman"/>
      <w:kern w:val="2"/>
      <w:sz w:val="18"/>
      <w:lang w:val="en-US" w:eastAsia="zh-CN" w:bidi="ar-SA"/>
    </w:rPr>
  </w:style>
  <w:style w:type="character" w:customStyle="1" w:styleId="5">
    <w:name w:val="font11"/>
    <w:basedOn w:val="4"/>
    <w:qFormat/>
    <w:uiPriority w:val="0"/>
    <w:rPr>
      <w:rFonts w:ascii="Arial" w:hAnsi="Arial" w:cs="Arial"/>
      <w:color w:val="000000"/>
      <w:sz w:val="20"/>
      <w:szCs w:val="20"/>
      <w:u w:val="none"/>
    </w:rPr>
  </w:style>
  <w:style w:type="character" w:customStyle="1" w:styleId="6">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2020-10-21T06:56:00Z</dcterms:created>
  <dc:creator>芥子</dc:creator>
  <cp:lastModifiedBy>芥子</cp:lastModifiedBy>
  <dcterms:modified xsi:type="dcterms:W3CDTF">2020-10-26T04:33:07Z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