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ind w:right="640"/>
        <w:jc w:val="left"/>
        <w:rPr>
          <w:rFonts w:ascii="黑体" w:hAnsi="黑体" w:eastAsia="黑体"/>
          <w:sz w:val="32"/>
          <w:szCs w:val="32"/>
        </w:rPr>
      </w:pPr>
      <w:r>
        <w:rPr>
          <w:rFonts w:hint="eastAsia" w:ascii="黑体" w:hAnsi="黑体" w:eastAsia="黑体"/>
          <w:sz w:val="32"/>
          <w:szCs w:val="32"/>
        </w:rPr>
        <w:t>附件2：</w:t>
      </w:r>
    </w:p>
    <w:p>
      <w:pPr>
        <w:widowControl/>
        <w:adjustRightInd w:val="0"/>
        <w:snapToGrid w:val="0"/>
        <w:spacing w:line="520" w:lineRule="exact"/>
        <w:jc w:val="center"/>
        <w:rPr>
          <w:rFonts w:ascii="方正小标宋简体" w:hAnsi="黑体" w:eastAsia="方正小标宋简体" w:cs="宋体"/>
          <w:sz w:val="36"/>
          <w:szCs w:val="36"/>
        </w:rPr>
      </w:pPr>
      <w:r>
        <w:rPr>
          <w:rFonts w:hint="eastAsia" w:ascii="方正小标宋简体" w:hAnsi="黑体" w:eastAsia="方正小标宋简体" w:cs="宋体"/>
          <w:sz w:val="36"/>
          <w:szCs w:val="36"/>
        </w:rPr>
        <w:t>贵州省毕节市烟草专卖局（公司）</w:t>
      </w:r>
    </w:p>
    <w:p>
      <w:pPr>
        <w:widowControl/>
        <w:adjustRightInd w:val="0"/>
        <w:snapToGrid w:val="0"/>
        <w:spacing w:line="520" w:lineRule="exact"/>
        <w:jc w:val="center"/>
        <w:rPr>
          <w:rFonts w:ascii="方正小标宋简体" w:hAnsi="黑体" w:eastAsia="方正小标宋简体" w:cs="宋体"/>
          <w:sz w:val="36"/>
          <w:szCs w:val="36"/>
        </w:rPr>
      </w:pPr>
      <w:r>
        <w:rPr>
          <w:rFonts w:hint="eastAsia" w:ascii="方正小标宋简体" w:hAnsi="黑体" w:eastAsia="方正小标宋简体" w:cs="宋体"/>
          <w:sz w:val="36"/>
          <w:szCs w:val="36"/>
        </w:rPr>
        <w:t>2020年大学生招聘考试新冠肺炎疫情防控告知书暨承诺书</w:t>
      </w:r>
    </w:p>
    <w:p>
      <w:pPr>
        <w:widowControl/>
        <w:adjustRightInd w:val="0"/>
        <w:snapToGrid w:val="0"/>
        <w:spacing w:line="52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考生报名考试时应仔细阅读招聘公告、笔试通知、《贵州省毕节市烟草专卖局（公司）2020年大学生招聘考试新冠肺炎疫情防控告知书暨承诺书》等相关内容，承诺已知悉告知事项和防疫要求，自愿承担因不实承诺带来的相关责任。</w:t>
      </w:r>
      <w:bookmarkStart w:id="0" w:name="_GoBack"/>
      <w:bookmarkEnd w:id="0"/>
    </w:p>
    <w:p>
      <w:pPr>
        <w:pStyle w:val="2"/>
        <w:widowControl/>
        <w:shd w:val="clear" w:color="auto" w:fill="FFFFFF"/>
        <w:adjustRightInd w:val="0"/>
        <w:snapToGrid w:val="0"/>
        <w:spacing w:beforeAutospacing="0" w:afterAutospacing="0" w:line="520" w:lineRule="exact"/>
        <w:ind w:firstLine="640" w:firstLineChars="200"/>
        <w:jc w:val="both"/>
        <w:rPr>
          <w:rFonts w:hint="default" w:ascii="仿宋_GB2312" w:hAnsi="仿宋" w:eastAsia="仿宋_GB2312" w:cs="仿宋_GB2312"/>
          <w:sz w:val="32"/>
          <w:szCs w:val="32"/>
        </w:rPr>
      </w:pPr>
      <w:r>
        <w:rPr>
          <w:rFonts w:ascii="仿宋_GB2312" w:hAnsi="仿宋" w:eastAsia="仿宋_GB2312" w:cs="仿宋_GB2312"/>
          <w:b w:val="0"/>
          <w:kern w:val="2"/>
          <w:sz w:val="32"/>
          <w:szCs w:val="32"/>
        </w:rPr>
        <w:t>根据《贵州省新冠肺炎十条常态化防控措施》和《关于进一步做好跨地区入黔人员健康管理工作的通知》相关要求，贵州省毕节市烟草专卖局（公司）2020年大学生招聘笔试考场准入条件如下：</w:t>
      </w:r>
    </w:p>
    <w:p>
      <w:pPr>
        <w:spacing w:line="520" w:lineRule="exact"/>
        <w:ind w:firstLine="640"/>
        <w:rPr>
          <w:rFonts w:ascii="黑体" w:hAnsi="黑体" w:eastAsia="黑体" w:cs="黑体"/>
          <w:sz w:val="32"/>
          <w:szCs w:val="32"/>
        </w:rPr>
      </w:pPr>
      <w:r>
        <w:rPr>
          <w:rFonts w:hint="eastAsia" w:ascii="黑体" w:hAnsi="黑体" w:eastAsia="黑体" w:cs="黑体"/>
          <w:sz w:val="32"/>
          <w:szCs w:val="32"/>
        </w:rPr>
        <w:t>一、体温在37.3℃以下；</w:t>
      </w:r>
    </w:p>
    <w:p>
      <w:pPr>
        <w:spacing w:line="520" w:lineRule="exact"/>
        <w:ind w:firstLine="640"/>
        <w:rPr>
          <w:rFonts w:ascii="黑体" w:hAnsi="黑体" w:eastAsia="黑体" w:cs="黑体"/>
          <w:sz w:val="32"/>
          <w:szCs w:val="32"/>
        </w:rPr>
      </w:pPr>
      <w:r>
        <w:rPr>
          <w:rFonts w:hint="eastAsia" w:ascii="黑体" w:hAnsi="黑体" w:eastAsia="黑体" w:cs="黑体"/>
          <w:sz w:val="32"/>
          <w:szCs w:val="32"/>
        </w:rPr>
        <w:t>二、贵州健康码扫码结果为“绿码”；</w:t>
      </w:r>
    </w:p>
    <w:p>
      <w:pPr>
        <w:spacing w:line="520" w:lineRule="exact"/>
        <w:ind w:firstLine="640"/>
        <w:rPr>
          <w:rFonts w:ascii="黑体" w:hAnsi="黑体" w:eastAsia="黑体" w:cs="黑体"/>
          <w:sz w:val="32"/>
          <w:szCs w:val="32"/>
        </w:rPr>
      </w:pPr>
      <w:r>
        <w:rPr>
          <w:rFonts w:hint="eastAsia" w:ascii="黑体" w:hAnsi="黑体" w:eastAsia="黑体" w:cs="黑体"/>
          <w:sz w:val="32"/>
          <w:szCs w:val="32"/>
        </w:rPr>
        <w:t>三、身体健康情况无异常；</w:t>
      </w:r>
    </w:p>
    <w:p>
      <w:pPr>
        <w:spacing w:line="520" w:lineRule="exact"/>
        <w:ind w:firstLine="640"/>
        <w:rPr>
          <w:rFonts w:ascii="黑体" w:hAnsi="黑体" w:eastAsia="黑体" w:cs="黑体"/>
          <w:sz w:val="32"/>
          <w:szCs w:val="32"/>
        </w:rPr>
      </w:pPr>
      <w:r>
        <w:rPr>
          <w:rFonts w:hint="eastAsia" w:ascii="黑体" w:hAnsi="黑体" w:eastAsia="黑体" w:cs="黑体"/>
          <w:sz w:val="32"/>
          <w:szCs w:val="32"/>
        </w:rPr>
        <w:t>四、扫描防疫行程卡，按以下情况分别出示相关证明材料</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（一）有境外旅居史人员需要提供</w:t>
      </w:r>
      <w:r>
        <w:rPr>
          <w:rFonts w:hint="eastAsia" w:ascii="黑体" w:hAnsi="黑体" w:eastAsia="黑体" w:cs="黑体"/>
          <w:sz w:val="32"/>
          <w:szCs w:val="32"/>
        </w:rPr>
        <w:t>集中隔离证明</w:t>
      </w:r>
      <w:r>
        <w:rPr>
          <w:rFonts w:hint="eastAsia" w:ascii="仿宋_GB2312" w:hAnsi="仿宋_GB2312" w:eastAsia="仿宋_GB2312" w:cs="仿宋_GB2312"/>
          <w:sz w:val="32"/>
          <w:szCs w:val="32"/>
        </w:rPr>
        <w:t>、</w:t>
      </w:r>
      <w:r>
        <w:rPr>
          <w:rFonts w:hint="eastAsia" w:ascii="黑体" w:hAnsi="黑体" w:eastAsia="黑体" w:cs="黑体"/>
          <w:sz w:val="32"/>
          <w:szCs w:val="32"/>
        </w:rPr>
        <w:t>社区出具的居家观察证明</w:t>
      </w:r>
      <w:r>
        <w:rPr>
          <w:rFonts w:hint="eastAsia" w:ascii="仿宋_GB2312" w:hAnsi="仿宋_GB2312" w:eastAsia="仿宋_GB2312" w:cs="仿宋_GB2312"/>
          <w:sz w:val="32"/>
          <w:szCs w:val="32"/>
        </w:rPr>
        <w:t>和</w:t>
      </w:r>
      <w:r>
        <w:rPr>
          <w:rFonts w:hint="eastAsia" w:ascii="黑体" w:hAnsi="黑体" w:eastAsia="黑体" w:cs="黑体"/>
          <w:sz w:val="32"/>
          <w:szCs w:val="32"/>
        </w:rPr>
        <w:t>足次的核酸检测阴性证明</w:t>
      </w:r>
      <w:r>
        <w:rPr>
          <w:rFonts w:hint="eastAsia" w:ascii="仿宋_GB2312" w:hAnsi="仿宋_GB2312" w:eastAsia="仿宋_GB2312" w:cs="仿宋_GB2312"/>
          <w:sz w:val="32"/>
          <w:szCs w:val="32"/>
        </w:rPr>
        <w:t>。</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在贵州省外首站入境的，入境后已在省外首站地集中隔离14天，入黔后核酸检测的结果为阴性，并居家隔离7天无异常；入境后在省外首站地未隔离满14天的，须在贵州省集中隔离补足14天，在第14天进行核酸检测结果为阴性，并居家隔离观察7天无异常。</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2.在贵州省首站入境的，集中隔离14天，在入境当天及第14天进行核酸检测的结果均为阴性，并居家隔离观察7天无异常。</w:t>
      </w:r>
    </w:p>
    <w:p>
      <w:pPr>
        <w:widowControl/>
        <w:shd w:val="clear" w:color="auto" w:fill="FFFFFF"/>
        <w:spacing w:line="520" w:lineRule="exact"/>
        <w:ind w:firstLine="640"/>
        <w:jc w:val="left"/>
        <w:textAlignment w:val="baseline"/>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（二）14天内有中高风险等级地区旅居史的考生，</w:t>
      </w:r>
      <w:r>
        <w:rPr>
          <w:rFonts w:hint="eastAsia" w:ascii="仿宋_GB2312" w:hAnsi="微软雅黑" w:eastAsia="仿宋_GB2312" w:cs="宋体"/>
          <w:color w:val="000000" w:themeColor="text1"/>
          <w:kern w:val="0"/>
          <w:sz w:val="32"/>
          <w:szCs w:val="32"/>
          <w14:textFill>
            <w14:solidFill>
              <w14:schemeClr w14:val="tx1"/>
            </w14:solidFill>
          </w14:textFill>
        </w:rPr>
        <w:t>持</w:t>
      </w:r>
      <w:r>
        <w:rPr>
          <w:rFonts w:hint="eastAsia" w:ascii="黑体" w:hAnsi="黑体" w:eastAsia="黑体" w:cs="黑体"/>
          <w:sz w:val="32"/>
          <w:szCs w:val="32"/>
        </w:rPr>
        <w:t>健康通行码“绿码”</w:t>
      </w:r>
      <w:r>
        <w:rPr>
          <w:rFonts w:hint="eastAsia" w:ascii="黑体" w:hAnsi="黑体" w:eastAsia="黑体" w:cs="宋体"/>
          <w:color w:val="000000" w:themeColor="text1"/>
          <w:kern w:val="0"/>
          <w:sz w:val="32"/>
          <w:szCs w:val="32"/>
          <w14:textFill>
            <w14:solidFill>
              <w14:schemeClr w14:val="tx1"/>
            </w14:solidFill>
          </w14:textFill>
        </w:rPr>
        <w:t>、防疫行程卡绿码和外省7天内合法核酸检测为阴性证明，</w:t>
      </w:r>
      <w:r>
        <w:rPr>
          <w:rFonts w:hint="eastAsia" w:ascii="仿宋_GB2312" w:hAnsi="微软雅黑" w:eastAsia="仿宋_GB2312" w:cs="宋体"/>
          <w:color w:val="000000" w:themeColor="text1"/>
          <w:kern w:val="0"/>
          <w:sz w:val="32"/>
          <w:szCs w:val="32"/>
          <w14:textFill>
            <w14:solidFill>
              <w14:schemeClr w14:val="tx1"/>
            </w14:solidFill>
          </w14:textFill>
        </w:rPr>
        <w:t>到达贵州后，在贵州省指定核酸检测机构再进行1次核酸检测，考试当天</w:t>
      </w:r>
      <w:r>
        <w:rPr>
          <w:rFonts w:hint="eastAsia" w:ascii="黑体" w:hAnsi="黑体" w:eastAsia="黑体" w:cs="宋体"/>
          <w:color w:val="000000" w:themeColor="text1"/>
          <w:kern w:val="0"/>
          <w:sz w:val="32"/>
          <w:szCs w:val="32"/>
          <w14:textFill>
            <w14:solidFill>
              <w14:schemeClr w14:val="tx1"/>
            </w14:solidFill>
          </w14:textFill>
        </w:rPr>
        <w:t>持外省7天内合法核酸检测为阴性证明和入黔后接受合法核酸检测为阴性证明（共2份核酸检测证明）</w:t>
      </w:r>
      <w:r>
        <w:rPr>
          <w:rFonts w:hint="eastAsia" w:ascii="仿宋_GB2312" w:hAnsi="微软雅黑" w:eastAsia="仿宋_GB2312" w:cs="宋体"/>
          <w:color w:val="000000" w:themeColor="text1"/>
          <w:kern w:val="0"/>
          <w:sz w:val="32"/>
          <w:szCs w:val="32"/>
          <w14:textFill>
            <w14:solidFill>
              <w14:schemeClr w14:val="tx1"/>
            </w14:solidFill>
          </w14:textFill>
        </w:rPr>
        <w:t>。</w:t>
      </w:r>
    </w:p>
    <w:p>
      <w:pPr>
        <w:adjustRightInd w:val="0"/>
        <w:snapToGrid w:val="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（三）14天内仅有低风险等级地区旅居史的人员，持</w:t>
      </w:r>
      <w:r>
        <w:rPr>
          <w:rFonts w:hint="eastAsia" w:ascii="黑体" w:hAnsi="黑体" w:eastAsia="黑体" w:cs="黑体"/>
          <w:sz w:val="32"/>
          <w:szCs w:val="32"/>
        </w:rPr>
        <w:t>健康通行码“绿码”、</w:t>
      </w:r>
      <w:r>
        <w:rPr>
          <w:rFonts w:hint="eastAsia" w:ascii="黑体" w:hAnsi="黑体" w:eastAsia="黑体" w:cs="宋体"/>
          <w:color w:val="000000" w:themeColor="text1"/>
          <w:kern w:val="0"/>
          <w:sz w:val="32"/>
          <w:szCs w:val="32"/>
          <w14:textFill>
            <w14:solidFill>
              <w14:schemeClr w14:val="tx1"/>
            </w14:solidFill>
          </w14:textFill>
        </w:rPr>
        <w:t>防疫行程卡“绿码”</w:t>
      </w:r>
      <w:r>
        <w:rPr>
          <w:rFonts w:hint="eastAsia" w:ascii="仿宋_GB2312" w:hAnsi="仿宋_GB2312" w:eastAsia="仿宋_GB2312" w:cs="仿宋_GB2312"/>
          <w:sz w:val="32"/>
          <w:szCs w:val="32"/>
        </w:rPr>
        <w:t>。</w:t>
      </w:r>
    </w:p>
    <w:p>
      <w:pPr>
        <w:spacing w:line="520" w:lineRule="exact"/>
        <w:ind w:firstLine="640"/>
        <w:rPr>
          <w:rFonts w:ascii="仿宋" w:hAnsi="仿宋" w:eastAsia="仿宋" w:cs="宋体"/>
          <w:sz w:val="32"/>
          <w:szCs w:val="32"/>
        </w:rPr>
      </w:pPr>
      <w:r>
        <w:rPr>
          <w:rFonts w:ascii="仿宋" w:hAnsi="仿宋" w:eastAsia="仿宋" w:cs="宋体"/>
          <w:sz w:val="32"/>
          <w:szCs w:val="32"/>
        </w:rPr>
        <mc:AlternateContent>
          <mc:Choice Requires="wps">
            <w:drawing>
              <wp:anchor distT="0" distB="0" distL="114300" distR="114300" simplePos="0" relativeHeight="251661312" behindDoc="0" locked="0" layoutInCell="1" allowOverlap="1">
                <wp:simplePos x="0" y="0"/>
                <wp:positionH relativeFrom="column">
                  <wp:posOffset>-223520</wp:posOffset>
                </wp:positionH>
                <wp:positionV relativeFrom="paragraph">
                  <wp:posOffset>33020</wp:posOffset>
                </wp:positionV>
                <wp:extent cx="5886450" cy="5372735"/>
                <wp:effectExtent l="14605" t="13970" r="27305" b="23495"/>
                <wp:wrapNone/>
                <wp:docPr id="1" name="矩形 1"/>
                <wp:cNvGraphicFramePr/>
                <a:graphic xmlns:a="http://schemas.openxmlformats.org/drawingml/2006/main">
                  <a:graphicData uri="http://schemas.microsoft.com/office/word/2010/wordprocessingShape">
                    <wps:wsp>
                      <wps:cNvSpPr/>
                      <wps:spPr>
                        <a:xfrm>
                          <a:off x="0" y="0"/>
                          <a:ext cx="5886450" cy="5372735"/>
                        </a:xfrm>
                        <a:prstGeom prst="rect">
                          <a:avLst/>
                        </a:prstGeom>
                        <a:noFill/>
                        <a:ln w="28575" cap="flat" cmpd="sng">
                          <a:solidFill>
                            <a:srgbClr val="000000"/>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rect id="_x0000_s1026" o:spid="_x0000_s1026" o:spt="1" style="position:absolute;left:0pt;margin-left:-17.6pt;margin-top:2.6pt;height:423.05pt;width:463.5pt;z-index:251661312;v-text-anchor:middle;mso-width-relative:page;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">
                <v:path/>
                <v:fill on="f" focussize="0,0"/>
                <v:stroke weight="2.25pt" color="#000000"/>
                <v:imagedata o:title=""/>
                <o:lock v:ext="edit"/>
                <v:textbox>
                  <w:txbxContent>
                    <w:p>
                      <w:pPr>
                        <w:jc w:val="center"/>
                      </w:pPr>
                    </w:p>
                  </w:txbxContent>
                </v:textbox>
              </v:rect>
            </w:pict>
          </mc:Fallback>
        </mc:AlternateContent>
      </w:r>
      <w:r>
        <w:rPr>
          <w:rFonts w:hint="eastAsia" w:ascii="黑体" w:hAnsi="黑体" w:eastAsia="黑体" w:cs="宋体"/>
          <w:sz w:val="32"/>
          <w:szCs w:val="32"/>
        </w:rPr>
        <w:t>承诺内容</w:t>
      </w:r>
      <w:r>
        <w:rPr>
          <w:rFonts w:ascii="黑体" w:hAnsi="黑体" w:eastAsia="黑体" w:cs="宋体"/>
          <w:sz w:val="32"/>
          <w:szCs w:val="32"/>
        </w:rPr>
        <w:t>如下：</w:t>
      </w:r>
    </w:p>
    <w:p>
      <w:pPr>
        <w:widowControl/>
        <w:adjustRightInd w:val="0"/>
        <w:snapToGrid w:val="0"/>
        <w:spacing w:line="520" w:lineRule="exact"/>
        <w:ind w:firstLine="640"/>
        <w:rPr>
          <w:rFonts w:ascii="仿宋_GB2312" w:hAnsi="仿宋" w:eastAsia="仿宋_GB2312" w:cs="宋体"/>
          <w:sz w:val="32"/>
          <w:szCs w:val="32"/>
        </w:rPr>
      </w:pPr>
      <w:r>
        <w:rPr>
          <w:rFonts w:hint="eastAsia" w:ascii="仿宋_GB2312" w:hAnsi="仿宋" w:eastAsia="仿宋_GB2312" w:cs="宋体"/>
          <w:sz w:val="32"/>
          <w:szCs w:val="32"/>
        </w:rPr>
        <w:t>本人已认真阅读《贵州省毕节市烟草专卖局（公司）2020年大学</w:t>
      </w:r>
      <w:r>
        <w:rPr>
          <w:rFonts w:ascii="仿宋_GB2312" w:hAnsi="仿宋" w:eastAsia="仿宋_GB2312" w:cs="宋体"/>
          <w:sz w:val="32"/>
          <w:szCs w:val="32"/>
        </w:rPr>
        <w:t>生招聘考试</w:t>
      </w:r>
      <w:r>
        <w:rPr>
          <w:rFonts w:hint="eastAsia" w:ascii="仿宋_GB2312" w:hAnsi="仿宋" w:eastAsia="仿宋_GB2312" w:cs="宋体"/>
          <w:sz w:val="32"/>
          <w:szCs w:val="32"/>
        </w:rPr>
        <w:t>新冠肺炎疫情防控告知书暨承诺书》，知悉告知事项、证明义务和防疫要求。</w:t>
      </w:r>
    </w:p>
    <w:p>
      <w:pPr>
        <w:widowControl/>
        <w:adjustRightInd w:val="0"/>
        <w:snapToGrid w:val="0"/>
        <w:spacing w:line="520" w:lineRule="exact"/>
        <w:ind w:firstLine="640"/>
        <w:rPr>
          <w:rFonts w:ascii="仿宋_GB2312" w:hAnsi="仿宋" w:eastAsia="仿宋_GB2312" w:cs="宋体"/>
          <w:sz w:val="32"/>
          <w:szCs w:val="32"/>
          <w:u w:val="single"/>
        </w:rPr>
      </w:pPr>
      <w:r>
        <w:rPr>
          <w:rFonts w:hint="eastAsia" w:ascii="仿宋_GB2312" w:hAnsi="仿宋" w:eastAsia="仿宋_GB2312" w:cs="宋体"/>
          <w:sz w:val="32"/>
          <w:szCs w:val="32"/>
        </w:rPr>
        <w:t>在此</w:t>
      </w:r>
      <w:r>
        <w:rPr>
          <w:rFonts w:hint="eastAsia" w:ascii="黑体" w:hAnsi="黑体" w:eastAsia="黑体" w:cs="宋体"/>
          <w:sz w:val="32"/>
          <w:szCs w:val="32"/>
        </w:rPr>
        <w:t>郑重承诺</w:t>
      </w:r>
      <w:r>
        <w:rPr>
          <w:rFonts w:hint="eastAsia" w:ascii="仿宋_GB2312" w:hAnsi="仿宋" w:eastAsia="仿宋_GB2312" w:cs="宋体"/>
          <w:sz w:val="32"/>
          <w:szCs w:val="32"/>
        </w:rPr>
        <w:t>：</w:t>
      </w:r>
      <w:r>
        <w:rPr>
          <w:rFonts w:hint="eastAsia" w:ascii="仿宋_GB2312" w:hAnsi="仿宋" w:eastAsia="仿宋_GB2312" w:cs="宋体"/>
          <w:sz w:val="32"/>
          <w:szCs w:val="32"/>
          <w:u w:val="single"/>
        </w:rPr>
        <w:t>本人符合可参加考试的情形，本人填报、提交和现场出示的所有信息（证明）均真实、准确、完整、有效，符合疫情防控相关要求，并自愿承担因不实承诺所带来的相关责任。</w:t>
      </w:r>
    </w:p>
    <w:p>
      <w:pPr>
        <w:widowControl/>
        <w:adjustRightInd w:val="0"/>
        <w:snapToGrid w:val="0"/>
        <w:spacing w:line="520" w:lineRule="exact"/>
        <w:ind w:firstLine="640"/>
        <w:rPr>
          <w:rFonts w:ascii="黑体" w:hAnsi="黑体" w:eastAsia="黑体" w:cs="宋体"/>
          <w:sz w:val="32"/>
          <w:szCs w:val="32"/>
        </w:rPr>
      </w:pPr>
      <w:r>
        <w:rPr>
          <w:rFonts w:hint="eastAsia" w:ascii="黑体" w:hAnsi="黑体" w:eastAsia="黑体" w:cs="宋体"/>
          <w:sz w:val="32"/>
          <w:szCs w:val="32"/>
        </w:rPr>
        <w:t>请将“郑</w:t>
      </w:r>
      <w:r>
        <w:rPr>
          <w:rFonts w:ascii="黑体" w:hAnsi="黑体" w:eastAsia="黑体" w:cs="宋体"/>
          <w:sz w:val="32"/>
          <w:szCs w:val="32"/>
        </w:rPr>
        <w:t>重承诺</w:t>
      </w:r>
      <w:r>
        <w:rPr>
          <w:rFonts w:hint="eastAsia" w:ascii="黑体" w:hAnsi="黑体" w:eastAsia="黑体" w:cs="宋体"/>
          <w:sz w:val="32"/>
          <w:szCs w:val="32"/>
        </w:rPr>
        <w:t>”划横线部分</w:t>
      </w:r>
      <w:r>
        <w:rPr>
          <w:rFonts w:ascii="黑体" w:hAnsi="黑体" w:eastAsia="黑体" w:cs="宋体"/>
          <w:sz w:val="32"/>
          <w:szCs w:val="32"/>
        </w:rPr>
        <w:t>内容全部手写誊抄一遍在下方</w:t>
      </w:r>
      <w:r>
        <w:rPr>
          <w:rFonts w:hint="eastAsia" w:ascii="黑体" w:hAnsi="黑体" w:eastAsia="黑体" w:cs="宋体"/>
          <w:sz w:val="32"/>
          <w:szCs w:val="32"/>
        </w:rPr>
        <w:t>：</w:t>
      </w:r>
    </w:p>
    <w:p>
      <w:pPr>
        <w:widowControl/>
        <w:adjustRightInd w:val="0"/>
        <w:snapToGrid w:val="0"/>
        <w:spacing w:line="520" w:lineRule="exact"/>
        <w:ind w:firstLine="640"/>
        <w:rPr>
          <w:rFonts w:ascii="黑体" w:hAnsi="黑体" w:eastAsia="黑体" w:cs="宋体"/>
          <w:sz w:val="32"/>
          <w:szCs w:val="32"/>
        </w:rPr>
      </w:pPr>
    </w:p>
    <w:p>
      <w:pPr>
        <w:widowControl/>
        <w:adjustRightInd w:val="0"/>
        <w:snapToGrid w:val="0"/>
        <w:spacing w:line="520" w:lineRule="exact"/>
        <w:ind w:firstLine="640"/>
        <w:rPr>
          <w:rFonts w:ascii="黑体" w:hAnsi="黑体" w:eastAsia="黑体" w:cs="宋体"/>
          <w:sz w:val="32"/>
          <w:szCs w:val="32"/>
        </w:rPr>
      </w:pPr>
    </w:p>
    <w:p>
      <w:pPr>
        <w:widowControl/>
        <w:adjustRightInd w:val="0"/>
        <w:snapToGrid w:val="0"/>
        <w:spacing w:line="520" w:lineRule="exact"/>
        <w:ind w:firstLine="4320" w:firstLineChars="1350"/>
        <w:rPr>
          <w:rFonts w:ascii="仿宋_GB2312" w:hAnsi="仿宋" w:eastAsia="仿宋_GB2312" w:cs="宋体"/>
          <w:sz w:val="32"/>
          <w:szCs w:val="32"/>
        </w:rPr>
      </w:pPr>
    </w:p>
    <w:p>
      <w:pPr>
        <w:widowControl/>
        <w:adjustRightInd w:val="0"/>
        <w:snapToGrid w:val="0"/>
        <w:spacing w:line="520" w:lineRule="exact"/>
        <w:ind w:firstLine="4320" w:firstLineChars="1350"/>
        <w:rPr>
          <w:rFonts w:ascii="仿宋_GB2312" w:hAnsi="仿宋" w:eastAsia="仿宋_GB2312" w:cs="宋体"/>
          <w:sz w:val="32"/>
          <w:szCs w:val="32"/>
        </w:rPr>
      </w:pPr>
      <w:r>
        <w:rPr>
          <w:rFonts w:hint="eastAsia" w:ascii="仿宋_GB2312" w:hAnsi="仿宋" w:eastAsia="仿宋_GB2312" w:cs="宋体"/>
          <w:sz w:val="32"/>
          <w:szCs w:val="32"/>
        </w:rPr>
        <w:t>签</w:t>
      </w:r>
      <w:r>
        <w:rPr>
          <w:rFonts w:ascii="仿宋_GB2312" w:hAnsi="仿宋" w:eastAsia="仿宋_GB2312" w:cs="宋体"/>
          <w:sz w:val="32"/>
          <w:szCs w:val="32"/>
        </w:rPr>
        <w:t>名</w:t>
      </w:r>
      <w:r>
        <w:rPr>
          <w:rFonts w:hint="eastAsia" w:ascii="仿宋_GB2312" w:hAnsi="仿宋" w:eastAsia="仿宋_GB2312" w:cs="宋体"/>
          <w:sz w:val="32"/>
          <w:szCs w:val="32"/>
        </w:rPr>
        <w:t>（本人手写）</w:t>
      </w:r>
      <w:r>
        <w:rPr>
          <w:rFonts w:ascii="仿宋_GB2312" w:hAnsi="仿宋" w:eastAsia="仿宋_GB2312" w:cs="宋体"/>
          <w:sz w:val="32"/>
          <w:szCs w:val="32"/>
        </w:rPr>
        <w:t>：</w:t>
      </w:r>
    </w:p>
    <w:p>
      <w:pPr>
        <w:widowControl/>
        <w:adjustRightInd w:val="0"/>
        <w:snapToGrid w:val="0"/>
        <w:spacing w:line="520" w:lineRule="exact"/>
        <w:ind w:firstLine="6560" w:firstLineChars="2050"/>
        <w:rPr>
          <w:rFonts w:ascii="仿宋_GB2312" w:hAnsi="仿宋" w:eastAsia="仿宋_GB2312" w:cs="宋体"/>
          <w:sz w:val="32"/>
          <w:szCs w:val="32"/>
        </w:rPr>
      </w:pPr>
      <w:r>
        <w:rPr>
          <w:rFonts w:hint="eastAsia" w:ascii="仿宋_GB2312" w:hAnsi="仿宋" w:eastAsia="仿宋_GB2312" w:cs="宋体"/>
          <w:sz w:val="32"/>
          <w:szCs w:val="32"/>
        </w:rPr>
        <w:t xml:space="preserve">年 </w:t>
      </w:r>
      <w:r>
        <w:rPr>
          <w:rFonts w:ascii="仿宋_GB2312" w:hAnsi="仿宋" w:eastAsia="仿宋_GB2312" w:cs="宋体"/>
          <w:sz w:val="32"/>
          <w:szCs w:val="32"/>
        </w:rPr>
        <w:t xml:space="preserve"> </w:t>
      </w:r>
      <w:r>
        <w:rPr>
          <w:rFonts w:hint="eastAsia" w:ascii="仿宋_GB2312" w:hAnsi="仿宋" w:eastAsia="仿宋_GB2312" w:cs="宋体"/>
          <w:sz w:val="32"/>
          <w:szCs w:val="32"/>
        </w:rPr>
        <w:t xml:space="preserve">月 </w:t>
      </w:r>
      <w:r>
        <w:rPr>
          <w:rFonts w:ascii="仿宋_GB2312" w:hAnsi="仿宋" w:eastAsia="仿宋_GB2312" w:cs="宋体"/>
          <w:sz w:val="32"/>
          <w:szCs w:val="32"/>
        </w:rPr>
        <w:t xml:space="preserve"> </w:t>
      </w:r>
      <w:r>
        <w:rPr>
          <w:rFonts w:hint="eastAsia" w:ascii="仿宋_GB2312" w:hAnsi="仿宋" w:eastAsia="仿宋_GB2312" w:cs="宋体"/>
          <w:sz w:val="32"/>
          <w:szCs w:val="32"/>
        </w:rPr>
        <w:t>日</w:t>
      </w:r>
    </w:p>
    <w:p>
      <w:pPr>
        <w:widowControl/>
        <w:adjustRightInd w:val="0"/>
        <w:snapToGrid w:val="0"/>
        <w:spacing w:line="520" w:lineRule="exact"/>
        <w:ind w:firstLine="6560" w:firstLineChars="2050"/>
        <w:rPr>
          <w:rFonts w:ascii="仿宋_GB2312" w:hAnsi="仿宋" w:eastAsia="仿宋_GB2312" w:cs="宋体"/>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65505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60D74"/>
    <w:rsid w:val="6688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2020-10-22T07:23:27Z</dcterms:created>
  <dc:creator>Administrator</dc:creator>
  <cp:lastModifiedBy>杨贸凯</cp:lastModifiedBy>
  <dcterms:modified xsi:type="dcterms:W3CDTF">2020-10-22T07:23:45Z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