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健康情况声明书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本人已知晓并理解、遵守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成都师范学院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年10月公开招聘工作人员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考试关于考生个人健康要求和新冠肺炎疫情防控相关管理规定，并做如下声明：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（一）本人不属于疫情防控要求14天强制隔离期、医学观察期或自我隔离期内的人群。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（二）本人在考前14天内体温和个人健康情况均正常。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本人共同居住家庭成员中未有被诊断的新冠肺炎、疑似患者、密切接触者。未与新冠肺炎确诊病例、新型冠状病毒感染者（核酸检测阳性）、疑似病例接触，未接触过来自有病例报告社区，或来自境外地区的发热或有呼吸道症状的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（四）考试过程中如出现咳嗽、发热等身体不适情况，我自行放弃考试或遵守考试工作人员安排到指定区域考试。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声明人（签字）：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联系电话：</w:t>
      </w:r>
    </w:p>
    <w:p>
      <w:r>
        <w:br w:type="page"/>
      </w:r>
    </w:p>
    <w:p>
      <w:pPr>
        <w:jc w:val="both"/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40"/>
          <w:szCs w:val="40"/>
          <w:lang w:val="en-US" w:eastAsia="zh-CN"/>
        </w:rPr>
        <w:t>考前14天活动轨迹及交通信息申报表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27"/>
        <w:gridCol w:w="23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一、考前14天活动轨迹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386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生活地点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期间有无不适症状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（症状描述）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3868" w:type="dxa"/>
            <w:gridSpan w:val="2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二、考试往返交通信息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8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安排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（全程需要乘坐的交通工具及航班、车次信息）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自驾车</w:t>
            </w:r>
          </w:p>
        </w:tc>
        <w:tc>
          <w:tcPr>
            <w:tcW w:w="518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（车牌号，司乘人员数量）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813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乘坐公共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交通工具</w:t>
            </w: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5182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例：</w:t>
            </w:r>
          </w:p>
          <w:p>
            <w:pPr>
              <w:jc w:val="both"/>
              <w:rPr>
                <w:rFonts w:hint="default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出门—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出租车）—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飞机：**航空+航班号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地铁*号线）—（市内公交车）—考点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申报人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日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47CEF"/>
    <w:rsid w:val="419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离退休处</dc:creator>
  <cp:lastModifiedBy>CH</cp:lastModifiedBy>
  <dcterms:modified xsi:type="dcterms:W3CDTF">2020-09-30T04:01:17Z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